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ATAS/1047/2022 vom 1. Dezember 2022</w:t>
      </w:r>
    </w:p>
    <w:p>
      <w:r>
        <w:t>GE Cour de justice, 2022-12-01, FR</w:t>
      </w:r>
    </w:p>
    <w:p>
      <w:r>
        <w:rPr>
          <w:b/>
        </w:rPr>
        <w:t xml:space="preserve">Quelle: </w:t>
      </w:r>
      <w:r>
        <w:t>https://mcp.opencaselaw.ch/entscheid/ge_gerichte_ATAS_1047_2022</w:t>
      </w:r>
    </w:p>
    <w:p>
      <w:r>
        <w:t>FR: GE_GERICHTE ATAS/1047/2022 du 1 décembre 2022</w:t>
      </w:r>
    </w:p>
    <w:p>
      <w:r>
        <w:t>IT: GE_GERICHTE ATAS/1047/2022 del 1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38 et 56 ss LPGA).</w:t>
      </w:r>
    </w:p>
    <w:p>
      <w:r>
        <w:rPr>
          <w:b/>
        </w:rPr>
        <w:t>E. 3</w:t>
      </w:r>
    </w:p>
    <w:p>
      <w:r>
        <w:t>Est litigieuse la question de savoir si la recourante dispose d’une capacité de travail résiduelle dans une activité adaptée, le cas échéant depuis quand.</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A/4379/2020 - 11/18 -</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5.2</w:t>
      </w:r>
    </w:p>
    <w:p>
      <w:r>
        <w:t>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5.4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w:t>
      </w:r>
    </w:p>
    <w:p>
      <w:r>
        <w:t>A/4379/2020 - 12/18 -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7</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w:t>
      </w:r>
    </w:p>
    <w:p>
      <w:r>
        <w:t>A/4379/2020 - 13/18 -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l’assurance-invalidité (consid. 5.3.3 et 6). Le caractère primaire ou secondaire d’un trouble de la dépendance n’est plus décisif pour en nier d’emblée toute pertinence sous l’angle du droit de l’assurance- invalidité (arrêt du Tribunal fédéral 9C_618/2019 du 16 mars 2020 consid. 8.1.1).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en tenant compte des facteurs incapacitants externes d’une part et du potentiel de compensation (ressources) d’autre part, permettent d’estimer la capacité de travail</w:t>
      </w:r>
    </w:p>
    <w:p>
      <w:r>
        <w:t>A/4379/2020 - 14/18 - réellement réalisable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Ainsi,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A/4379/2020 - 15/18 -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l’expertise réalisée par la Dresse M______ a été jugée convaincante par le SMR de l’OAI, qui a recommandé que ses conclusions soient suivies et que la capacité de travail de la recourante soit considérée comme nulle, dans toute activité, depuis le mois d’août 2015. La recourante ne s’est pas déterminée sur les conclusions de l’expertise mais l’on constate que ces dernières rejoignent la détermination de la recourante qui considère, dans ses écritures, que son état émotionnel ne s’est pas amélioré et qu’elle souffre depuis de nombreuses années et reste fragile, raison pour laquelle elle s’est opposée à la décision de l’OAI.</w:t>
      </w:r>
    </w:p>
    <w:p>
      <w:r>
        <w:rPr>
          <w:b/>
        </w:rPr>
        <w:t>E. 10.1</w:t>
      </w:r>
    </w:p>
    <w:p>
      <w:r>
        <w:t>D’une façon générale, l’experte psychiatre a rédigé un rapport d’expertise qui correspond en tous points aux exigences en la matière. Il a été établi en parfaite connaissance du dossier médical, à l’issue de quatre entretiens avec l’expertisée, complétés par des entretiens avec l’infirmier référent, le médecin du service d’addictologie et le médecin traitant de la recourante. Il contient en outre une anamnèse personnelle, familiale et professionnelle très fouillée, et l’experte a rapporté ses observations cliniques de manière détaillée à la suite des entretiens mentionnés supra. Les diagnostics retenus sont soigneusement motivés. L’experte a bien analysé la capacité de gain de la recourante et a émis des diagnostics motivés. Il n’existe pas de contradiction et l’experte a, en outre, exposé de manière convaincante pour quelles raisons elle se ralliait aux avis des autres intervenants ou au contraire s’en écartait, notamment quant à l’expertise du Dr J______.</w:t>
      </w:r>
    </w:p>
    <w:p>
      <w:r>
        <w:rPr>
          <w:b/>
        </w:rPr>
        <w:t>E. 10.2</w:t>
      </w:r>
    </w:p>
    <w:p>
      <w:r>
        <w:t>Compte tenu de ces éléments, la chambre de céans considère que le rapport d’expertise psychiatrique du 30 septembre 2022 présente une pleine valeur probante et qu’il doit être suivi, étant rappelé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w:t>
      </w:r>
    </w:p>
    <w:p>
      <w:r>
        <w:rPr>
          <w:b/>
        </w:rPr>
        <w:t>E. 10.3</w:t>
      </w:r>
    </w:p>
    <w:p>
      <w:r>
        <w:t>Au niveau de la date à partir de laquelle la capacité de travail est considérée comme nulle, la chambre de céans partage l’avis de l’experte et l’avis médical du SMR, daté du 10 novembre 2022. C’est donc à la date du 1er août 2015 qu’il sied de reconnaître une capacité de travail nulle dans toute activité. Compte tenu du degré d’invalidité de 100%, la recourante a droit à une rente entière, non limitée dans le temps, à l’issue du délai d’attente d’un an, soit dès le 1er août 2016 comme le propose l’OAI, dans son ultime détermination du 10 novembre 2022.</w:t>
      </w:r>
    </w:p>
    <w:p>
      <w:r>
        <w:t>A/4379/2020 - 16/18 -</w:t>
      </w:r>
    </w:p>
    <w:p>
      <w:r>
        <w:rPr>
          <w:b/>
        </w:rPr>
        <w:t>E. 11</w:t>
      </w:r>
    </w:p>
    <w:p>
      <w:r>
        <w:t>Compte tenu de ce qui précède, il se justifie de réformer la décision querellée en ce sens que la recourante a droit à une rente entière ordinaire, non limitée dans le temps, dès le 1er août 2016.</w:t>
      </w:r>
    </w:p>
    <w:p>
      <w:r>
        <w:rPr>
          <w:b/>
        </w:rPr>
        <w:t>E. 12</w:t>
      </w:r>
    </w:p>
    <w:p>
      <w:r>
        <w:t>S’agissant des coûts de l’expertise,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12.1</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12.2</w:t>
      </w:r>
    </w:p>
    <w:p>
      <w:r>
        <w:t>En ce qui concerne les troubles psychiatriques, l’OAI a mandaté un expert en la personne du Dr J______. Le fait que ses conclusions soient différentes de celles de l’experte judiciaire mandatée par la chambre de céans ne permet pas de déduire que l'autorité administrative a diligenté une instruction présentant des lacunes ou des insuffisances caractérisées.</w:t>
      </w:r>
    </w:p>
    <w:p>
      <w:r>
        <w:rPr>
          <w:b/>
        </w:rPr>
        <w:t>E. 12.3</w:t>
      </w:r>
    </w:p>
    <w:p>
      <w:r>
        <w:t>Dès lors, les frais de l’expertise judiciaire seront laissés à la charge de l’État.</w:t>
      </w:r>
    </w:p>
    <w:p>
      <w:r>
        <w:rPr>
          <w:b/>
        </w:rPr>
        <w:t>E. 13</w:t>
      </w:r>
    </w:p>
    <w:p>
      <w:r>
        <w:t>La recourante, qui n'est pas représentée en justice et qui n'a pas allégué ou démontré avoir déployé des efforts dépassant la mesure de ce que tout un chacun consacre à la gestion courante de ses affaires, n'a pas droit à des dépens.</w:t>
      </w:r>
    </w:p>
    <w:p>
      <w:r>
        <w:t>A/4379/2020 - 17/18 -</w:t>
      </w:r>
    </w:p>
    <w:p>
      <w:r>
        <w:rPr>
          <w:b/>
        </w:rPr>
        <w:t>E. 14</w:t>
      </w:r>
    </w:p>
    <w:p>
      <w:r>
        <w:t>Au vu du sort du recours, il y a lieu de condamner l’intimé au paiement d'un émolument (art. 69 al. 1bis LAI), arrêté en l’espèce à CHF 200.-.</w:t>
      </w:r>
    </w:p>
    <w:p>
      <w:r>
        <w:t>A/4379/2020 - 18/18 -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