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ATAS/1047/2016 vom 15. Dezember 2016</w:t>
      </w:r>
    </w:p>
    <w:p>
      <w:r>
        <w:t>GE Cour de justice, 2016-12-15, FR</w:t>
      </w:r>
    </w:p>
    <w:p>
      <w:r>
        <w:rPr>
          <w:b/>
        </w:rPr>
        <w:t xml:space="preserve">Quelle: </w:t>
      </w:r>
      <w:r>
        <w:t>https://mcp.opencaselaw.ch/entscheid/ge_gerichte_ATAS_1047_2016</w:t>
      </w:r>
    </w:p>
    <w:p>
      <w:r>
        <w:t>FR: GE_GERICHTE ATAS/1047/2016 du 15 décembre 2016</w:t>
      </w:r>
    </w:p>
    <w:p>
      <w:r>
        <w:t>IT: GE_GERICHTE ATAS/1047/2016 del 15 dicembre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compte tenu de la suspension des délais entre le 15 juillet et le 15 août inclusivement (art. 56 ss et 38 al. 4b LPGA).</w:t>
      </w:r>
    </w:p>
    <w:p>
      <w:r>
        <w:rPr>
          <w:b/>
        </w:rPr>
        <w:t>E. 3</w:t>
      </w:r>
    </w:p>
    <w:p>
      <w:r>
        <w:t>L’objet du litige porte sur la question de savoir si la recourante peut bénéficier d’une rente d’invalidité et/ou de mesures d’orientation professionnelle.</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w:t>
      </w:r>
    </w:p>
    <w:p>
      <w:r>
        <w:t>A/2958/2016 - 10/17 -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L’assuré a droit à une rente entière s’il est invalide à 70 % au moins, à un trois- 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A/2958/2016 - 11/17 - entraîne une incapacité de travail ayant des effets sur la capacité de gain de l’assuré (Ulrich MEYER-BLASER, Bundesgesetz über die Invalidenversicherung, 1997, p. 8).</w:t>
      </w:r>
    </w:p>
    <w:p>
      <w:r>
        <w:rPr>
          <w:b/>
        </w:rPr>
        <w:t>E. 6</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rPr>
          <w:b/>
        </w:rPr>
        <w:t>E. 7</w:t>
      </w:r>
    </w:p>
    <w:p>
      <w:r>
        <w:t>a. Chez les assurés travaillant dans le ménage, le degré d'invalidité se détermine, en règle générale, au moyen d'une enquête économique sur place, alors que l'incapacité</w:t>
      </w:r>
    </w:p>
    <w:p>
      <w:r>
        <w:t>A/2958/2016 - 12/17 -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A/2958/2016 - 13/17 -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rPr>
          <w:b/>
        </w:rPr>
        <w:t>E. 9</w:t>
      </w:r>
    </w:p>
    <w:p>
      <w:r>
        <w:t>En l'occurrence, l'intimé a rejeté la demande de révision au motif que l'état de santé de la recourante est superposable à celui qui avait prévalu lors de la décision du 6 novembre 2013 qui a été confirmée par la chambre de céans dans son arrêt du 14 juin 2014. Toutefois, l'intimé a omis d'examiner si un changement important des circonstances propre à influencer le degré d’invalidité et donc le droit à la rente s'est produit, alors même qu'il est admis que la rente peut être révisée non seulement en cas de modification sensible de l’état de santé, mais aussi lorsque celui-ci est resté en soi le même, mais que ses conséquences sur la capacité de gain ont subi un changement important. En l'espèce, il convient certes de constater que l'état de santé et la capacité de travail de la recourante ne se sont pas modifiés depuis la dernière décision. A l'époque, la Dresse C______ a estimé la capacité de travail à 50% du taux d'activité de 85%, ce qui correspond à 42,5%. Cela est aussi admis par l'expert, le Dr E______ qui a conclu dans son rapport du 15 février 2012 que l'augmentation de la capacité de travail au-delà de 50% (du 80%) n'était guère possible dans les prochaines semaines et que le pronostic était très incertain, au vu des traits accentués de la personnalité de la recourante et la nature de sa maladie, laissant craindre de nouvelles décompensations dans l'avenir malgré une bonne compliance thérapeutique et une forte motivation. Le taux de capacité de travail de 42,5% a été ainsi admis par la chambre de céans dans son arrêt du 4 juin 2014 et n'a pas été contesté par l'intimé. Aujourd'hui, la Dresse C______ continue à certifier une capacité de travail entre 40 et 50%, taux que la recourante admet finalement, comme cela résulte des déclarations de son conseil lors de son audition devant la chambre de céans. Il résulte par ailleurs du dossier que la santé de la recourante ne s'est guère améliorée. Au contraire, elle a dû être hospitalisée du 18 novembre au 9 décembre 2014 et a été en incapacité de travail totale jusqu'au 11 janvier 2015. La Dresse C______ atteste également que l'état clinique est fluctuant. Cependant, à l'époque de la première procédure la recourante travaillait à 50%, alors même que sa capacité de travail était en réalité moindre, de sorte que sa perte de gain, compte tenu de son statut mixte, était inférieure à 40% et n'ouvrait ainsi pas le droit à une rente. C'est la raison pour laquelle, la chambre de céans a réservé dans son arrêt une révision de la décision si la recourante devait réduire dans l'avenir son taux d'activité</w:t>
      </w:r>
    </w:p>
    <w:p>
      <w:r>
        <w:t>A/2958/2016 - 14/17 - La recourante a entretemps été licenciée pour le 30 septembre 2014 et n'a pas repris une nouvelle activité. La situation s'est donc modifiée, ce qui peut justifier une révision du droit à la rente, dès lors qu'il y a lieu de prendre en considération pour le calcul du revenu d'invalide le taux d'occupation préconisé par la Dresse C______. Il est à rappeler à cet égard que celle-ci a considéré, dans son rapport du 7 octobre 2013, que si la recourante continuait à travailler à 50%, il y avait un risque non négligeable de rechutes et d'aggravation des symptômes. Partant, il convient de constater que les circonstances ont changé, la recourante ne réalisant plus un revenu correspondant à un taux d'occupation de 50% et devant chercher un travail au taux de 42,5% au maximum. Un motif de révision au sens de la loi est ainsi réalisé.</w:t>
      </w:r>
    </w:p>
    <w:p>
      <w:r>
        <w:rPr>
          <w:b/>
        </w:rPr>
        <w:t>E. 10</w:t>
      </w:r>
    </w:p>
    <w:p>
      <w:r>
        <w:t>La recourante estime par ailleurs que ses empêchements dans le ménage sont supérieurs à 17,1%, tel que retenu dans l'enquête ménagère du 13 mai 2013, et que sa capacité de travail dans le ménage devrait être déterminée par une expertise psychiatrique. Toutefois, d’une part, l’état de santé de la recourante n’a pas changé, de sorte qu’il n’y a en principe pas de raison de considérer que l’incapacité de travail dans le ménage de la recourante est aujourd’hui supérieure à ce qui avait été retenu dans l’enquête économique sur le ménage. Au demeurant, la recourante admet qu’elle continue à faire parfois le ménage, comme cela ressort de ses déclarations devant la chambre de céans. Elle fait ainsi la poussière et passe un peu l’aspirateur. Elle organise aussi son ménage, même si certains jours elle a de la peine à s’en occuper. Deux fois par semaine elle fait la cuisine. Par ailleurs, elle range le lave-vaisselle, s’occupe de la lessive, aidée par sa belle-mère pour cette tâche, et repasse, mais rarement. Quant aux courses et les tâches administratives, elles sont assumées par son mari. Enfin, elle s’occupe de son fils pendant la semaine et l’amène en particulier chez le médecin si c’est nécessaire. Son fils n’a plus besoin de sortir au parc avec elle, pouvant s’y rendre seul. Ces déclarations ne sont pas sensiblement différentes de celles faites en 2013 à l’enquêtrice. En tout état de cause, comme constaté déjà dans l’arrêt du 4 juin 2014, la recourante se contente d’affirmer que ses empêchements dans le ménage sont en réalité plus importants, sans indiquer pour quelles raisons précises les constatations de l’enquêtrice sont erronées. Partant, en l’absence d’inexactitudes ou d’omissions dûment établies, une valeur probante doit être reconnue au rapport d’enquête sur le ménage, d’autant plus qu’aucun médecin n’a attesté que la recourante rencontrait dans le ménage un empêchement supérieur. Ainsi, ce rapport doit se faire reconnaître une valeur probante totale, de sorte qu’il y a lieu de se tenir à un empêchement global de 17,1 % dans la sphère ménagère. Par conséquent, la recourante sera déboutée de sa conclusion tendant à la mise en œuvre d’une expertise psychiatrique judiciaire.</w:t>
      </w:r>
    </w:p>
    <w:p>
      <w:r>
        <w:t>A/2958/2016 - 15/17 -</w:t>
      </w:r>
    </w:p>
    <w:p>
      <w:r>
        <w:rPr>
          <w:b/>
        </w:rPr>
        <w:t>E. 11</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12</w:t>
      </w:r>
    </w:p>
    <w:p>
      <w:r>
        <w:t>a. En l'espèce, l'année déterminante est 2014, dès lors que le changement des circonstances s'est produit au cours de cette année, le contrat de travail ayant été résilié. b. Pour le revenu d’invalide, le salaire de référence est en l'occurrence celui auquel peuvent prétendre les femmes effectuant des tâches physiques et manuelles simples (niveau de compétence 1) dans le secteur privé, à savoir CHF 49'344.- par année (Enquête suisse sur la structure des salaires 2012, TA1_skill_level). Comme les salaires bruts standardisés tiennent compte d’un horaire de travail de 40 heures, soit une durée hebdomadaire inférieure à la moyenne usuelle dans les entreprises en 2014 (41,7 heures en 2013; office fédéral de la statistique – OFS -, durée normale</w:t>
      </w:r>
    </w:p>
    <w:p>
      <w:r>
        <w:t>A/2958/2016 - 16/17 - du travail dans les entreprises selon la division économique [Noga 2008], en heure par semaine), ce montant doit être porté à CHF 51'441.-. Au vu de l’évolution des salaires entre 2012 et 2014, le salaire statistique s’élève en cette dernière année à CHF51'338.- (variation entre 2012 et 2014 -0,2, office fédéral des statistiques, évolution des salaires nominaux, des prix à la consommation et des salaires réels, 1976-2015). Au taux de 42,5 %, le salaire d’invalide s’établit à CHF 21'818.-. Compte tenu des limitations fonctionnelles de la recourante, notamment son manque de résistance au stress, sa fatigabilité et la fluctuation de son état de santé, il se justifie de procéder à un abattement supplémentaire du salaire statistique de 10%, de sorte que le salaire d’invalide à prendre en compte est de CHF 19'637.-. Quant au revenu sans invalidité, il ressort du compte individuel de la recourante qu’elle avait réalisé en 2013 un salaire de CHF 31'952.- au taux de 50 %, ce qui correspond à un salaire à 100 % de CHF 63'904.- et à 85 % de 54'318.- en chiffres ronds. Il convient par ailleurs de prendre en considération le salaire de 2013, dans la mesure où celui de 2014, de CHF 17'641.- réalisé de janvier à septembre, est proportionnellement inférieur, éventuellement en raison de l'absence de la gratification de fin d'année. Cela étant, la perte de gain s’établit dans la sphère professionnelle à CHF 34'681.-, ce qui correspond à un taux d’invalidité de 63,84 %. Compte tenu de ce que la recourante n’avait travaillé, avant la survenance de l’invalidité, qu’à 85 %, le taux d’invalidité dans cette sphère est de 54,27 %. Ajouté au taux d’invalidité de 3 % dans les travaux habituels (15 % de 17 %), le taux d’invalidité global est de 57 %. Un tel taux ouvre le droit à une demi-rente.</w:t>
      </w:r>
    </w:p>
    <w:p>
      <w:r>
        <w:rPr>
          <w:b/>
        </w:rPr>
        <w:t>E. 13</w:t>
      </w:r>
    </w:p>
    <w:p>
      <w:r>
        <w:t>Compte tenu de ce que la recourante a déposé sa demande de révision en mai 2015, le droit à la rente d’invalidité naît en novembre 2015 (art. 29 al. 1 LAI).</w:t>
      </w:r>
    </w:p>
    <w:p>
      <w:r>
        <w:rPr>
          <w:b/>
        </w:rPr>
        <w:t>E. 14</w:t>
      </w:r>
    </w:p>
    <w:p>
      <w:r>
        <w:t>Lors de l’audience de comparution personnelle, la recourante a admis, par la bouche de son conseil, qu’elle avait déjà travaillé dans des activités adaptées à son état de santé précédent et qu’elle aurait pu s’imaginer travailler dans la buanderie, domaine dans lequel elle avait effectué un stage dans le cadre de l’assurance- chômage. Dans ces conditions, des mesures d’orientation professionnelle ne sont pas justifiées.</w:t>
      </w:r>
    </w:p>
    <w:p>
      <w:r>
        <w:rPr>
          <w:b/>
        </w:rPr>
        <w:t>E. 15</w:t>
      </w:r>
    </w:p>
    <w:p>
      <w:r>
        <w:t>Au vu de ce qui précède, la décision querellée sera annulée et la recourante mise au bénéfice d’une demi-rente d’invalidité à compter de novembre 2015.</w:t>
      </w:r>
    </w:p>
    <w:p>
      <w:r>
        <w:rPr>
          <w:b/>
        </w:rPr>
        <w:t>E. 16</w:t>
      </w:r>
    </w:p>
    <w:p>
      <w:r>
        <w:t>La recourante obtenant partiellement gain de cause, une indemnité de CHF 2'500.- lui est accordée à titre de dépens.</w:t>
      </w:r>
    </w:p>
    <w:p>
      <w:r>
        <w:rPr>
          <w:b/>
        </w:rPr>
        <w:t>E. 17</w:t>
      </w:r>
    </w:p>
    <w:p>
      <w:r>
        <w:t>Dès lors que l’intimé succombe, un émolument de CHF 500.- est mis à sa charge. ***</w:t>
      </w:r>
    </w:p>
    <w:p>
      <w:r>
        <w:t>A/2958/2016 - 17/17 -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