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ATAS/1047/2011 vom 10. November 2011</w:t>
      </w:r>
    </w:p>
    <w:p>
      <w:r>
        <w:t>GE Cour de justice, 2011-11-10, FR</w:t>
      </w:r>
    </w:p>
    <w:p>
      <w:r>
        <w:rPr>
          <w:b/>
        </w:rPr>
        <w:t xml:space="preserve">Quelle: </w:t>
      </w:r>
      <w:r>
        <w:t>https://mcp.opencaselaw.ch/entscheid/ge_gerichte_ATAS_1047_2011</w:t>
      </w:r>
    </w:p>
    <w:p>
      <w:r>
        <w:t>FR: GE_GERICHTE ATAS/1047/2011 du 10 novembre 2011</w:t>
      </w:r>
    </w:p>
    <w:p>
      <w:r>
        <w:t>IT: GE_GERICHTE ATAS/1047/2011 del 10 novembre 2011</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21 décembre 2001, date du mariage, d’autre part le 17 mars 2011, date à laquelle le jugement de divorce est devenu exécutoire.</w:t>
      </w:r>
    </w:p>
    <w:p>
      <w:r>
        <w:rPr>
          <w:b/>
        </w:rPr>
        <w:t>E. 4</w:t>
      </w:r>
    </w:p>
    <w:p>
      <w:r>
        <w:t>Selon les documents produits, la prestation acquise pendant le mariage par le demandeur s'élève à 3'358 fr. 60 tandis la demanderesse n’en a accumulé aucune. Ainsi c’est en définitive le demandeur qui doit à son ex-épouse le montant de 1'679 fr. 30 (3'358.60 : 2).</w:t>
      </w:r>
    </w:p>
    <w:p>
      <w:r>
        <w:rPr>
          <w:b/>
        </w:rPr>
        <w:t>E. 5</w:t>
      </w:r>
    </w:p>
    <w:p>
      <w:r>
        <w:t>Conformément à la jurisprudence, depuis le jour déterminant pour le partage jusqu'au moment du transfert de la prestation de sortie ou de la demeure, le conjoint</w:t>
      </w:r>
    </w:p>
    <w:p>
      <w:r>
        <w:t>A/1165/2011 4/5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A/1165/2011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