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ATAS/1045/2018 vom 13. November 2018</w:t>
      </w:r>
    </w:p>
    <w:p>
      <w:r>
        <w:t>GE Cour de justice, 2018-11-13, FR</w:t>
      </w:r>
    </w:p>
    <w:p>
      <w:r>
        <w:rPr>
          <w:b/>
        </w:rPr>
        <w:t xml:space="preserve">Quelle: </w:t>
      </w:r>
      <w:r>
        <w:t>https://mcp.opencaselaw.ch/entscheid/ge_gerichte_ATAS_1045_2018</w:t>
      </w:r>
    </w:p>
    <w:p>
      <w:r>
        <w:t>FR: GE_GERICHTE ATAS/1045/2018 du 13 novembre 2018</w:t>
      </w:r>
    </w:p>
    <w:p>
      <w:r>
        <w:t>IT: GE_GERICHTE ATAS/1045/2018 del 13 novembre 2018</w:t>
      </w:r>
    </w:p>
    <w:p>
      <w:pPr>
        <w:pStyle w:val="Heading2"/>
      </w:pPr>
      <w:r>
        <w:t>Erwägungen</w:t>
      </w:r>
    </w:p>
    <w:p>
      <w:r>
        <w:rPr>
          <w:b/>
        </w:rPr>
        <w:t>E. 30</w:t>
      </w:r>
    </w:p>
    <w:p>
      <w:r>
        <w:t>Le 2 octobre 2018, la chambre de céans a communiqué chacune de ces écritures à l’adverse partie. EN DROIT 1. Dans l’ordonnance d’expertise du 16 janvier 2018, la chambre de céans a déjà tranché les questions de sa compétence, de la recevabilité du recours, du droit applicable et de l’objet du litige, de sorte qu’il n’y a pas lieu de revenir sur ces points. 2. Aux termes de l'art. 6 al. 1 de la loi fédérale sur l'assurance-accidents du 20 mars 1981 (LAA - RS 832.20),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A/3465/2016 - 11/20 -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Une causalité partielle suffit pour admettre l'existence d'un tel lien de causalité (ATF 117 V 360 consid. 4b in fine ; RAMA 1996 n° U 264 p. 287 ss consid. 3a).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8C_696/2014 du 23 novembre 2015 consid. 2.2). 3. a. Une fois que le lien de causalité naturelle a été établi au degré de la vraisemblance prépondérante, l’obligation de prester de l’assureur cesse lorsque</w:t>
      </w:r>
    </w:p>
    <w:p>
      <w:r>
        <w:t>A/3465/2016 - 12/20 -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 arrêt du Tribunal fédéral 8C_441/2017 du 6 juin 2018 consid. 3.2).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ATF 125 V 195 consid. 2 ; RAMA 2000 n° U 363 p. 46). 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c.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4.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w:t>
      </w:r>
    </w:p>
    <w:p>
      <w:r>
        <w:t>A/3465/2016 - 13/20 -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w:t>
      </w:r>
    </w:p>
    <w:p>
      <w:r>
        <w:t>A/3465/2016 - 14/20 -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5. En l’espèce, la recourante présente trois troubles différents, à savoir une entorse acromio-claviculaire gauche, une lésion du labrum gauche de type SLAP II et une uncodiscarthrose étagée de C4 à C7 avec hernie discale C5-C6 et C6-C7 accompagnée de neuropathie déficitaire sensitive C6 et C7. Ces diagnostics ne sont contestés ni par les divers médecins, ni par les parties. Seul est litigieux le lien de causalité entre l’accident du 27 octobre 2015 et la lésion du labrum gauche d’une part et l’uncodiscarthrose étagée d’autre part avec hernie discale et neuropathie déficitaire. Il n’est pas davantage contesté par les parties que ledit accident a provoqué une entorse acromio-claviculaire gauche, qui a guéri par un traitement conservateur ayant permis une reprise du travail à 100 % dès le 1er avril 2016. S’agissant de la lésion du labrum de type SLAP II, elle a été révélée par l’arthro-IRM du 25 novembre 2015, qui a fait l’objet de deux interprétations approfondies dans le cadre des deux expertises, l’une par le Dr K______ et l’autre par le Dr O______. Dans son rapport du 2 mai 2016, le Dr K______ mentionne une anomalie de morphologie et de signal du labrum gléno-huméral supérieur. Il relève la présence sur les images d’un récessus sous-labral (image 10 de la série 5), de sorte que la fissure labrale supérieure se surajoute à cette variante anatomique. Ladite fissure évoque un processus subaigu avec kyste paralabral en voie de formation. Au vu du délai d’un mois entre l’imagerie et le traumatisme, la nature post-traumatique de la fissure lui semble peu probable et il favoriserait une origine dégénérative, ce d’autant plus que l’orientation de cette fissure – qui s’étend médialement – parle en faveur d’une atteinte dégénérative par opposition aux lésions purement traumatiques qui s’étendent classiquement latéralement. Toutefois, en l’absence de</w:t>
      </w:r>
    </w:p>
    <w:p>
      <w:r>
        <w:t>A/3465/2016 - 15/20 - lésion associée des tendons de la coiffe des rotateurs ou des surfaces cartilagineuses gléno-humérales, il ne peut pas affirmer avec certitude sa nature dégénérative. Dans son rapport du 30 mars 2018, le Dr O______ constate également sur les images la présence au niveau du labrum d’un récessus sous-labral avec kyste et d’anomalies du signal avec irrégularité de la base glénoïde du labrum. Cette désinsertion minime postérieure lui semble pathologique. Il estime que le récessus sous-labral présente une petite distension kystique antérieure d’origine micro-traumatique chronique mais que les anomalies de la partie postérieure du labrum lui font suspecter une désinsertion partielle débutante donnant un aspect de lésion de type SLAP II C (antéro-postérieure) en raison du récessus sous labral distendu et de la lésion II B postérieure. Il lui semble indiscutable que la recourante présente un récessus sous-labral physiologique, qui est fréquent au niveau des épaules. La distension kystique antérieure est probablement secondaire à une hyper sollicitation chronique, alors que la lésion labrale postéro-supérieure lui semble davantage s’intégrer dans le cadre d’une lésion acquise traumatique aiguë compatible avec l’anamnèse. Par conséquent, il conclut à une origine mixte, à savoir physiologique et dégénérative pour le récessus sous-labral avec distension kystique antérieure et fort probablement traumatique pour la lésion labrale postéro-supérieure avec des anomalies du signal en faveur d’une désinsertion. Il ressort de ces deux rapports qu’il y a unanimité entre les radiologues quant au caractère physiologique du récessus sous-labral et à l’origine dégénérative du kyste. En revanche, ils divergent sur l’origine de la lésion labrale. Le Dr O______ constate également des anomalies des parties postéro-supérieure et antéro-postérieure du labrum alors que le Dr K______ ne mentionne que des anomalies de la partie antéro-supérieure du labrum. Cette différence d’interprétation des mêmes images de l’arthro-IRM du 25 novembre 2015 explique leurs conclusions divergentes, étant précisé qu’il y a lieu de privilégier l’interprétation du Dr O______, qui est plus complète. Dans son rapport d’expertise du 3 mai 2016, le Dr J______ diagnostique une découverte fortuite d’une lésion dégénérative de type SLAP II A avec petit kyste paralabral. Il estime que le lien de causalité naturelle avec l’accident n’est que possible. Il justifie son point de vue par le fait que les lésions traumatiques à ce niveau surviennent généralement lors du lancer d’un objet en élévation de l’épaule et que la simple contusion postéro-latérale subie n’était pas propre à solliciter la partie supérieure du labrum au-delà de son point de rupture. La nature dégénérative des lésions SLAP II est bien documentée surtout chez les personnes sollicitant leur épaule de façon répétitive. Cette lésion est parfois difficile à distinguer d’une variante anatomique normale (récessus, foramen, sublabral ou complexe de Bufford) dont la prévalence augmente avec l’âge jusqu’à se retrouver chez 95 % des individus de plus de 60 ans. Dans le cas de la recourante, cette lésion labrale lui paraît plutôt comme la découverte fortuite d’une lésion dégénérative.</w:t>
      </w:r>
    </w:p>
    <w:p>
      <w:r>
        <w:t>A/3465/2016 - 16/20 - Dans son rapport d’expertise reçu le 11 juin 2018, le Dr M______ retient à ce sujet un diagnostic de lésion de type SLAP II C de l’épaule gauche actuellement guérie suite à l’intervention du mois de mai 2016. Il considère que cette lésion a été causée par l’accident de manière certaine. Il justifie son appréciation divergeant de celle du Dr J______ quant à l’origine de la lésion SLAP, indépendamment de l’analyse radiologique, par le fait que la recourante est âgée de 38 ans et n’a pas d’antécédent et qu’on observe très exceptionnellement des troubles dégénératifs du labrum. Selon lui, l’apparition de douleurs à la suite d’un traumatisme violent chez une personne totalement asymptomatique avant l’accident, l’évolution stationnaire de ces troubles sans traitement, puis leur guérison rapide en moins de quatre mois après l’intervention du 10 mai 2016 démontrent très clairement la nature traumatique de cette lésion. Par conséquent, les deux experts s’opposent sur l’étiologie de ces troubles. Le Dr J______ justifie l’origine dégénérative de cette lésion notamment par le type de traumatisme qui, selon lui, n’est pas propre à provoquer une lésion de ce type. Toutefois, cette appréciation est contredite par le Dr E______ dans son rapport du 8 août 2016, qui retient, au contraire, que l’origine traumatique est tout à fait compatible avec une chute sur l’épaule accompagnée d’un mouvement d’hyperextension de celle-ci. De plus, l’appréciation du Dr J______ invoque une origine dégénérative bien documentée chez les personnes sollicitant leur épaule de façon répétitive. Or, l’activité professionnelle de la recourante est une activité de bureau qui n’entraîne pas une telle sollicitation. De plus, dans son rapport d’expertise, le Dr J______ mentionne dans l’anamnèse professionnelle que la recourante pratique la course à pied, la danse et le fitness, soit des activités qui ne sollicitent pas particulièrement l’épaule de façon répétitive. Dès lors, la justification par le Dr J______ de l’origine dégénérative de la lésion SLAP II ne repose pas sur des éléments avérés, de sorte qu’elle n’est pas fiable. L’intimée soutient que les conclusions de l’expert judiciaire orthopédiste quant à l’origine traumatique de la lésion SLAP n’ont pas de valeur probante, au motif que les experts passent d’une suspicion d’une petite désinsertion à une probabilité, puis à une certitude. En l’occurrence, les anomalies de signal de la partie postérieure du labrum faisant suspecter une petite désinsertion ne remettent pas en question l’existence d’une lésion de type SLAP II qui est admise par tous les médecins, mais plutôt l’étendue de celle-ci et sa localisation précise. Sur les images de l’arthro-IRM, le Dr O______ constate des anomalies des parties antéro-postérieures et postéro-supérieures du labrum alors que le Dr K______ ne fait état d’anomalies que de la partie antérieure du labrum. S’il est vrai que le Dr O______ indique que les anomalies de la partie postérieure du labrum lui font suspecter une petite désinsertion partielle débutante, il n’en conclut pas moins que ces anomalies évoquent une lésion de type SLAP II C dont le caractère traumatique récent est fort probable. En utilisant le terme suspecter, il n’invoque pas une hypothèse mais utilise le langage interprétatif du</w:t>
      </w:r>
    </w:p>
    <w:p>
      <w:r>
        <w:t>A/3465/2016 - 17/20 - radiologue qui ne peut être certain de son interprétation qu’au vu des constats du chirurgien opérateur. C’est dans cette logique qu’il conclut à un caractère traumatique fort probable. Or, le Dr L______, qui a opéré la recourante le 10 mai 2016, confirme que la lésion de type SLAP est d’origine traumatique. Par conséquent, il n’y a aucune contradiction dans les conclusions du Dr O______. Par ailleurs, contrairement à ce que soutient l’intimée, la motivation de l’expert ne repose pas sur le seul principe post hoc ergo propter hoc, puisque ce dernier fonde son appréciation également sur le dossier radiologique, l’âge de la recourante, le type de traumatisme et la rareté des troubles dégénératifs du labrum. Dans son rapport d’expertise, le Dr M______ a répondu à toutes les questions posées dans l’ordonnance d’expertise, exécuté le mandat d’expertise sur la base d’un dossier médical et radiologique complet, en prenant l’avis du Dr O______, procédé à un examen de la recourante et tenu compte de ses plaintes ainsi que de l’anamnèse. Il motive ses réponses et explique pourquoi il se distancie de l’appréciation du Dr J______. Étant donné que la motivation du Dr M______ repose sur des éléments objectifs, ne contient pas de contradiction et est confirmée par les Drs E______ et L______, il y a lieu de lui reconnaître une pleine valeur probante. Par conséquent, la chambre de céans suivra ses conclusions. Il reste encore à examiner le lien de causalité entre les troubles discaux et l’accident. 6.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w:t>
      </w:r>
    </w:p>
    <w:p>
      <w:r>
        <w:t>A/3465/2016 - 18/20 - 25 octobre 2007 consid. 3.1; voir également arrêt du Tribunal fédéral des assurances U 354/04 du 11 avril 2005 consid. 2.2 avec références). 7. S’agissant de l’uncodiscarthrose étagée de C4 à C7 avec hernie discale C5-C6 et C6-C7 accompagnée de neuropathie déficitaire sensitive C6 et C7, le Dr N______ conclut dans son rapport d’expertise, qu’à l’instar des autres médecins, il considère les troubles discaux de la recourante comme étant d’origine dégénérative. Il motive son appréciation par les IRM préopératoires, l’absence d’association à des lésions des tissus mous, les saillies ostéophytiques qui témoignent d’une évolution lente plutôt en faveur d’un phénomène dégénératif, ainsi que la perte de lordose et l’installation d’une cyphose cervicale progressive, qui évoquent également une atteinte dégénérative progressive sur plusieurs années. Au vu de la coexistence fréquente de troubles de l’épaule et du rachis cervical, il est d’avis que l’accident a tout de même pu faciliter l’expression clinique de ces lésions d’hernies discales. Il précise qu’il ne peut pas affirmer que l’accident n’a joué aucun rôle dans le développement de la symptomatologie clinique, dans la mesure où, sans l’accident, l’expression de ces saillies discales aurait peut-être été beaucoup plus tardive. En définitive, l’expert conclut que l’accident a pu jouer un rôle d’accélération de la manifestation clinique de ces troubles discaux. Étant donné que ses conclusions reposent sur la seule possibilité d’un tel rôle accélérateur de l’accident, celui-ci n’est pas établi au degré de la vraisemblance prépondérante requise en assurances sociales. Par conséquent, il y a lieu de retenir qu’il n’y a aucun lien de causalité entre l’accident et les lésions discales de la recourante. 8.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w:t>
      </w:r>
    </w:p>
    <w:p>
      <w:r>
        <w:t>A/3465/2016 - 19/20 - pas applicable, en revanche, lorsque les deux facteurs ont causé des lésions sans corrélation entre elles, par exemple des atteintes portées à des parties différentes du corps; dans ce cas, les suites de l'accident doivent être considérées pour elles-mêmes (ATF 126 V 116 consid. 3a; ATF 121 V 326 consid. 3; SVR 2010 UV n° 31 p. 125 consid. 4.2; arrêt du Tribunal fédéral 8C_696/2014 consid. 2.3). b.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c. En l’espèce, eu égard aux conclusions de l’expertise judiciaire orthopédique, l’incapacité de travail est liée du 1er au 9 mai 2016 à parts égales aux troubles discaux et à la lésion de type SLAP II, puis elle est due à 100 % uniquement à cette dernière du 10 mai au 25 août 2016. Or, bien que l’expert neurologue admette que l’accident a pu accélérer l’expression clinique des lésions discales, il n’est pas établi au degré de la vraisemblance prépondérante que l’accident a occasionné une accélération des troubles discaux de la recourante, propre à influer sur sa capacité de travail (cf. supra consid. 7). Par conséquent, il y a également lieu de suivre les conclusions de l’expert orthopédiste sur l’évaluation de l’incapacité de travail de la recourante en lien avec la lésion de type SLAP II et avec les troubles discaux. Contrairement à ce que soutient la recourante, il ne ressort d’aucun rapport médical que la justification de son incapacité de travail entre décembre 2015 et mai 2016 serait majoritairement voire exclusivement due à l’accident au regard des douleurs ayant justifié l’opération du 10 mai 2016. Ainsi, il incombe à l’intimée de continuer à prendre en charge du 1er mai au 25 août 2016 l’indemnité journalière à raison d’une incapacité de travail de 50 % du 1er au 9 mai 2016, puis de 100 % du 10 mai au 25 août 2016, ainsi que les frais de traitement de la recourante en relation avec la lésion de type SLAP II. 9. Au vu de ce qui précède, le recours sera partiellement admis, la décision sur opposition du 13 septembre 2016 annulée au sens des considérants et la cause renvoyée à l’intimée pour calcul des prestations dues. La recourante obtenant gain de cause et étant représentée,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A/3465/2016 - 20/20 -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