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ATAS/1042/2024 vom 19. Dezember 2024</w:t>
      </w:r>
    </w:p>
    <w:p>
      <w:r>
        <w:t>GE Cour de justice, 2024-12-19, FR</w:t>
      </w:r>
    </w:p>
    <w:p>
      <w:r>
        <w:rPr>
          <w:b/>
        </w:rPr>
        <w:t xml:space="preserve">Quelle: </w:t>
      </w:r>
      <w:r>
        <w:t>https://mcp.opencaselaw.ch/entscheid/ge_gerichte_ATAS_1042_2024</w:t>
      </w:r>
    </w:p>
    <w:p>
      <w:r>
        <w:t>FR: GE_GERICHTE ATAS/1042/2024 du 19 décembre 2024</w:t>
      </w:r>
    </w:p>
    <w:p>
      <w:r>
        <w:t>IT: GE_GERICHTE ATAS/1042/2024 del 19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A/3751/2023 - 12/28 -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Au vu des conclusions des parties, le litige porte sur le droit de la recourante à une rente d'invalidité postérieurement au 31 octobre 2022, selon le courrier de l’intimé du 15 janvier 2024, dans la mesure où il n'est plus contesté qu'une rente entière doit être versée jusqu'au 31 octobre 2022, et non jusqu'au 30 avril 2022, comme retenu dans la décision querellée.</w:t>
      </w:r>
    </w:p>
    <w:p>
      <w:r>
        <w:rPr>
          <w:b/>
        </w:rPr>
        <w:t>E. 3</w:t>
      </w:r>
    </w:p>
    <w:p>
      <w:r>
        <w:t>Par renvoi de l'art. 1 al. 1 LAI, les dispositions de la LPGA s'appliquent à l'assurance-invalidité, à moins que la loi n'y déroge expressément.</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Dans les cas de révision selon l'art. 17 LPGA, les mêmes principes généraux du droit intertemporel conduisent à 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Il sied par ailleurs de rappeler qu'une décision par laquelle l'assurance-invalidité accorde une rente d'invalidité avec effet rétroactif et, en même temps, prévoit l'augmentation, la réduction ou la suppression de cette rente, correspond à une décision de révision</w:t>
      </w:r>
    </w:p>
    <w:p>
      <w:r>
        <w:t>A/3751/2023 - 13/28 - au sens de l’art. 17 LPGA (ATF 148 V 321 consid. 7.3.1 ; 145 V 209 consid. 5.3 et les références). En l’occurrence, il n’est pas contesté que le droit à la rente est né antérieurement au 1er janvier 2022. Toutefois, dans la mesure où une modification de la situation de fait limitant le droit à la rente est intervenue, selon l'intimé, après cette date, et que les conclusions de la recourante portent sur la poursuite de la rente à partir du 1er novembre 2022, les dispositions applicables seront citées dans leur nouvelle teneur.</w:t>
      </w:r>
    </w:p>
    <w:p>
      <w:r>
        <w:rPr>
          <w:b/>
        </w:rPr>
        <w:t>E. 4</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En vertu de l’art. 28b LAI, dans sa teneur en vigueur depuis le 1er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w:t>
      </w:r>
    </w:p>
    <w:p>
      <w:r>
        <w:t>taux d’invalidité quotité de la rente 49% 47,5% 48% 45%</w:t>
      </w:r>
    </w:p>
    <w:p>
      <w:r>
        <w:t>A/3751/2023 - 14/28 - 47% 42,5% 46% 40% 45% 37,5% 44% 35% 43% 32,5% 42% 30% 41% 27,5% 40% 25%</w:t>
      </w:r>
    </w:p>
    <w:p>
      <w:r>
        <w:rPr>
          <w:b/>
        </w:rPr>
        <w:t>E. 6</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let. b LAI). Une rente n'est pas octroyée tant que toutes les possibilités de réadaptation au sens de l'art. 8 al. 1bis et 1ter n'ont pas été épuisées (art. 28 al. 1bis LAI). Selon la jurisprudence, si l'assuré peut prétendre à des prestations de l'assurance- 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A/3751/2023 - 15/28 -</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w:t>
      </w:r>
    </w:p>
    <w:p>
      <w:r>
        <w:t>A/3751/2023 - 16/28 -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9.1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t>A/3751/2023 - 17/28 -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9.2</w:t>
      </w:r>
    </w:p>
    <w:p>
      <w:r>
        <w:t>Pour fixer le revenu sans invalidité, il faut établir ce que l'assuré aurait - au degré de la vraisemblance prépondérante - réellement pu obtenir au moment déterminant s'il n'était pas invalide (ATF 139 V 28 consid. 3.3.2 et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134 V 322 consid. 4 ; arrêt du Tribunal fédéral 9C_869/2017 du 4 mai 2018 consid. 2.2). Ce n'est qu'en présence de circonstances particulières qu'il peut se justifier qu'on s'en écarte et qu'on recoure aux données statistiques résultant de l'Enquête suisse sur la structure des salaires (ci-après : ESS). Tel sera le cas lorsqu'on ne dispose d'aucun renseignement au sujet de la dernière activité professionnelle de l'assuré ou lorsque celui-ci a cessé son activité depuis plusieurs années (ATF 129 V 222 ; arrêt du Tribunal fédéral I 636/02 du 15 avril 2003 consid. 4.1) ou lorsque l’absence d’emploi est due à des motifs étrangers à l’invalidité (arrêt du Tribunal fédéral 9C_525/2021 du 31 mai 2022 consid. 6.2.1).</w:t>
      </w:r>
    </w:p>
    <w:p>
      <w:r>
        <w:rPr>
          <w:b/>
        </w:rPr>
        <w:t>E. 9.3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 arrêts du Tribunal fédéral 8C_46/2018 du 11 janvier 2019 consid. 4.4 et 8C_228/2017 du 14 juin 2017 consid. 4.2.2).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w:t>
      </w:r>
    </w:p>
    <w:p>
      <w:r>
        <w:t>A/3751/2023 - 18/28 -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et les références ; voir aussi arrêt du Tribunal fédéral 9C_29/2012 du 27 juin 2012 consid. 4.2). C'est le lieu de préciser que les tables TA1, T1 et TA7 des ESS publiées jusqu'en 2010 correspondent respectivement aux tables TA1_skill_level, T1_tirage_skill_level et T17 des ESS publiées depuis 2012 (arrêt du Tribunal fédéral 8C_66/2020 du</w:t>
      </w:r>
    </w:p>
    <w:p>
      <w:r>
        <w:rPr>
          <w:b/>
        </w:rPr>
        <w:t>E. 9.4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w:t>
      </w:r>
    </w:p>
    <w:p>
      <w:r>
        <w:t>A/3751/2023 - 19/28 -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11. En l'espèce, l'intimé réfute les conclusions des experts judiciaires et considère que l’expertise bi disciplinaire du 15 octobre 2024 n’a pas de valeur probante. La recourante, au contraire, considère que le rapport d’expertise bi disciplinaire doit se voir reconnaître une pleine valeur probante et que ses conclusions doivent être suivies. Il sied de rappeler que la chambre de céans avait considéré que, d’une part, en raison de certaines contradictions dans les rapports d’expertise administrative, et d’autre part, en raison des appréciations très différentes des experts mandatés par l’OAI et des médecins traitants de l’assurée, il se justifiait d’ordonner une expertise judiciaire bi disciplinaire. Il convient d’examiner la valeur probante des rapports d’expertise du 15 octobre 2024. 11.1 S’agissant du rapport d’expertise psychiatrique rédigé par l’experte M______, il correspond aux exigences en la matière. Il a été établi en parfaite connaissance du dossier médical, dont la lecture a été complétée par un échange d’emails avec la psychiatre traitante de la recourante. Il contient, en outre, une anamnèse personnelle et professionnelle et l’experte a rapporté ses observations cliniques de manière détaillée à la suite de deux entretiens avec l’assurée. La description de la journée-type ne permet pas de retenir de problématiques de nature psychiatrique, l’assurée se référant à ses douleurs somatiques. Au niveau de ses plaintes, elle se plaint du manque de compréhension de l’OAI et du manque de reconnaissance alors qu’elle se maintient en emploi malgré ses douleurs tout en ajoutant qu’elle souhaite travailler à 50% dans son activité actuelle. Le diagnostic ayant une répercussion sur la capacité de travail est le trouble dépressif récurrent, actuellement en rémission, avec un premier épisode dépressif datant de 2013 lors de son licenciement de Planet Caviar. L’experte mentionne une santé psychologique évoluant par phases, en lien avec les atteintes et douleurs somatiques, tout en précisant que le traitement psychotrope mise également à</w:t>
      </w:r>
    </w:p>
    <w:p>
      <w:r>
        <w:t>A/3751/2023 - 20/28 - soigner, à la fois les troubles psychiques et les douleurs, ce qui est le cas de la duloxétine. Les limitations fonctionnelles mentionnées par l’experte ne se manifestent que lors de ces épisodes de rechute dépressive et consistent en une baisse de la thymie, une fatigabilité, une perte d’intérêt pour les activités et les personnes autour d’elle, des ruminations anxiodépressives, des crises d’angoisse, des troubles du sommeil, de l’irritabilité, une perte d’espoir, une anhédonie, une aboulie et des troubles de la concentration et de l’attention. Ces symptômes peuvent générer une impossibilité de se rendre à un travail et d’exécuter les tâches demandées en tant que serveuse et limitent fortement les possibilités de gestion au quotidien. L’experte considère qu’il n’y a pas de discordance entre les plaintes et le comportement de la personne expertisée, ni entre les limitations alléguées des activités de la vie quotidienne. Les limitations du niveau d’activité sont uniformes dans tous les domaines. S’agissant de l’activité sociale et des activités de la vie quotidienne, l’experte considère que le niveau d’activité sociale est dans la norme, l’assurée voyant régulièrement ses amis au yoga, ainsi que des couples d’amis, avec son mari. Elle maintient des contacts rapprochés avec ses deux filles, par messages et par téléphone. En ce qui concerne les activités de la vie quotidienne, les tâches ménagères sont faites petit à petit et au rythme de l’assurée, qui fait les courses en petites quantités, régulièrement. Son mari s’occupe des tâches administratives. L’assurée décrit un même rythme de fonctionnement quotidien sur le plan social, depuis 2019, faisant face à plus de difficultés à tenir ce rythme lorsque les crises douloureuses apparaissent lors des rechutes dépressives. L’experte mentionne les ressources résiduelles de la personne expertisée en indiquant qu’elle est capable de reprendre son activité professionnelle à 50% lors des rémissions de ces épisodes dépressifs. Sur le plan psychique, elle indique que l’assurée a investi son suivi psychiatrique de façon diligente jusqu’en mars 2024 et se dit capable de demander de l’aide et de reprendre un suivi si son état psychique devait se péjorer ; elle continue à prendre son traitement antidépresseur pour tenter de diminuer le risque de rechute et présente un certain nombre de ressources résiduelles sur le plan mental, car elle se connaît bien physiquement et psychiquement, prend soin d’elle en faisant du yoga trois fois par semaine et de la méditation. L’experte indique que les ressources sur le plan social sont bien présentes, avec de bons liens avec son mari et ses enfants et un réseau social développé. Il faut néanmoins relever que, dans le questionnaire de l’échelle de dépression de Hamilton du 18 septembre 2024, joint au rapport d’expertise et complété par l’assurée, cette dernière indique qu’elle ne ressent pas un état de tristesse, d’impuissance ou d’auto dépréciation, elle se réveille parfois pendant la nuit, n’a pas de difficultés le matin et au travail n’a aucune agitation ; au niveau de l’anxiété, elle ressent des symptômes légers, soit une tension subjective et une</w:t>
      </w:r>
    </w:p>
    <w:p>
      <w:r>
        <w:t>A/3751/2023 - 21/28 - irritabilité et se sent fatiguée. Sur le plan de la perception subjective, ce test montre une personne qui n’a pas de symptômes dépressifs, ou uniquement des symptômes dépressifs légers. Partant, on peine à comprendre les raisons pour lesquelles sa capacité de travail serait réduite à 50%. L’experte explique cela par un état dépressif récurrent, qui est confirmé par l’avis médical de la Dre E______ du 23 mars 2023, étant précisé que l’experte s’écarte, toutefois, de l’estimation de la capacité de travail retenue par la psychiatre traitante qui l’estime entre 0 et 20%, alors que l’experte retient une capacité de travail de 50%. S’agissant des conclusions de l’expert mandaté par l’OAI, le Dr N______, l’experte s’en écarte en insistant sur son propre diagnostic de trouble dépressif récurrent, qui serait réalisé lorsque la personne présente « deux épisodes dépressifs dans le passé pendant au moins deux semaines, séparés par un intervalle de plusieurs mois sans perturbation significative de l’humeur » ce qui correspond à la définition donnée dans la CIM 10. En dehors de ce renvoi à cette définition, l’experte ne justifie pas davantage la pertinence de son diagnostic et déclare que, dès lors que le trouble dépressif récurrent est une maladie chronique faite de rechutes et de rémissions, l’incapacité de travail ne peut pas être de 100%, sans toutefois expliquer les raisons pour lesquelles elle retient une capacité de travail de 50% plutôt que de 70 ou 80%. Ces conclusions sont peu convaincantes ; d’une part, le diagnostic de trouble dépressif récurrent n’est pas suffisamment explicité par rapport à un trouble dépressif qui se manifesterait de temps à autre. D’autre part, on peine à comprendre les raisons pour lesquelles, entre deux épisodes dépressifs, dont la sévérité n’est pas mentionnée, l’assurée ne disposerait pas d’une pleine capacité de travail sur le plan psychiatrique. La chambre de céans considère donc qu’il existe une contradiction entre les éléments objectifs mentionnés dans le rapport d’expertise psychiatrique et les conclusions de l’experte en ce qui concerne la capacité de travail. Partant, le volet psychiatrique de l’expertise du 15 octobre 2024 ne peut pas se voir reconnaître de valeur probante. Dans son rapport du 23 mars 2023, la Dre E______ mentionne une péjoration de l’état psychique de l’assurée depuis le mois de septembre 2022, mentionnant notamment des idées de mort et une relation compliquée avec son mari, faite de culpabilisations et de reproches. L’expertise qui s’est déroulée chez la Dre J______ est également décrite comme traumatisante, en raison de l’attitude apparemment soupçonneuse de cette dernière. En conclusion, la Dre E______ mentionne que depuis novembre 2021, l’état psychique de sa patiente s’est péjoré au point qu’il « participe désormais à la limitation de la capacité de travail. Jusque-là un trouble de l’adaptation avec réaction anxiodépressive était retenu, mais désormais les critères pour un épisode dépressif sont réunis ».</w:t>
      </w:r>
    </w:p>
    <w:p>
      <w:r>
        <w:t>A/3751/2023 - 22/28 - Cette conclusion ne correspond pas à celle retenue par l’experte, soit un trouble dépressif récurrent. On peut y voir un épisode dépressif de sévérité peut être moyenne par rapport à la description qui en est faite par la Dre E______ mais certainement pas un trouble dépressif récurrent dès lors que la psychiatre reconnaît elle-même qu’il s’agit de la première fois que les critères pour un épisode dépressif sont réunis, alors qu’auparavant, il s’agissait d’un trouble de l’adaptation avec réaction anxiodépressive. Le SMR fait les mêmes observations dans son avis médical du 19 novembre 2024, p. 3, et la chambre de céans partage son avis lorsqu’il estime qu’en l’absence de limitations fonctionnelles psychiatriques actuelles, il n’y a pas lieu de retenir une incapacité de travail « préventive d’une rechute », ce d’autant moins que l’assurée dispose de ressources personnelles, familiales et professionnelles dans la mesure où elle est parfaitement capable d’exercer son activité habituelle à 50%. La description d’une journée-type faite par l’experte ne permet pas non plus de considérer qu’il existerait des limitations fonctionnelles homogènes chez l’assurée. Compte tenu de ce qui précède, la chambre de céans considère qu’il est établi au degré de la vraisemblance prépondérante que la capacité de travail de l’assurée, sur le plan psychiatrique, dans son activité habituelle qui est une activité adaptée, est complète. 11.2 En ce qui concerne le volet rhumatologique, le rapport de l’expert L______ correspond en tous points aux exigences en la matière. Il a été établi en parfaite connaissance du dossier médical. Il contient, en outre, une anamnèse personnelle, familiale et professionnelle et l’expert a rapporté ses observations cliniques de manière détaillée. À la consultation, l’expert mentionne que la recherche de points douloureux pour une fibromyalgie est positive avec 18 points sur 18 et qu’il n’y a pas de signe de non organicité. Il retient comme diagnostic ayant une répercussion sur la capacité de travail la fibromyalgie (M 79.7), une spondylarthrite ankylosante (M 45.09), ainsi qu’un syndrome d’apnée du sommeil. S’agissant des restrictions fonctionnelles, au regard de la fibromyalgie, l’expert mentionne qu’il faut prévoir des plages de repos quotidiennes, ne pas devoir travailler avant 10 heures du matin et éviter les situations stressantes et privilégier une routine quotidienne. En ce qui concerne la spondylarthrite ankylosante, il retient les limitations fonctionnelles suivantes : pas de port de charges de plus de 5 kg, ne pas devoir monter ou descendre d’une échelle ou d’un échafaudage, ne pas devoir marcher sur un terrain irrégulier, ne pas devoir faire des mouvements répétés du rachis, ne pas devoir travailler avant 10 heures du matin et prévoir des plages d’exercices quotidiens. En ce qui concerne le syndrome d’apnée du sommeil, la seule</w:t>
      </w:r>
    </w:p>
    <w:p>
      <w:r>
        <w:t>A/3751/2023 - 23/28 - limitation fonctionnelle retenue est de ne pas devoir travailler avant 10 heures du matin. L’expert explique que les trois problèmes de santé sont intrinsèquement liés et que la spondylarthrite et la fibromyalgie sont responsables de douleurs chroniques, obligeant à une activité physique régulière, ce qui le conduit à reconnaître une capacité de travail dans son activité actuelle, qui est adaptée, de 50% dès le 11 février 2020. Ces deux maladies obligent à alterner des périodes de repos et des périodes d’activité physique. L’assurée est décrite comme suivant son traitement scrupuleusement, y compris en ce qui concerne la nécessité d’une activité physique régulière. L’expert exprime son désaccord avec les conclusions de la Dre J______, qui ne tient pas compte de la chronicité de la fibromyalgie et de la spondylarthrite, bien qu’il partage son avis sur les limitations fonctionnelles. Il rejoint, en revanche entièrement les appréciations du médecin traitant de l’assurée, la Dre H______. S’agissant de l’avis médical du SMR du 12 janvier 2024, l’expert s’étonne que le SMR maintienne une capacité de 100% dans la profession habituelle, alors que l’assurée travaille à satisfaction, à 50%, dans cette activité de serveuse depuis 2021 et qu’elle désire continuer à travailler à ce taux. De plus, les conclusions du SMR liées à l’IRM du 2 août 2023 sont contestées, car même s’il existe une stabilité des lésions inflammatoires au niveau des sacro-iliaques, cela ne préjuge pas de la répercussion clinique de la maladie. La chambre de céans observe que le rapport d’expertise du Dr L______ remplit les réquisits jurisprudentiels et que ce dernier a bien motivé ses appréciations. S’agissant de ses conclusions, elles sont contestées par le SMR qui, dans son rapport du 19 novembre 2024, constate que sur le plan rhumatologique, l’assurée a décrit à l’expert aller mieux, même s’il persiste des douleurs, une raideur matinale et une fatigue. Elle a pu augmenter ses capacités de travail de 20 à 50%. Le SMR considère que l’état de santé de l’assurée est inchangé, voire un peu amélioré sur le plan rhumatismal tout en estimant que le traitement est identique, les examens radiologiques ne relevant pas d’aggravation. L’examen clinique est superposable en ce qui concerne la spondylarthrite. En ce qui concerne la fibromyalgie, tous les points sont positifs actuellement alors qu’en 2022, seuls 2 points sur 18 étaient présents. En d’autres termes, le SMR semble considérer que le rapport d’expertise du Dr L______ ne présente pas de valeur probante en raison du fait que les examens radiologiques ne relèvent pas d’aggravation et que l’examen clinique est identique. Seule la fibromyalgie aurait progressé en raison du fait que 18 points sur 18 sont désormais positifs. Néanmoins, ces éléments ne permettent pas d’écarter les conclusions de l’expert L______, uniquement du fait que les examens radiologiques n’ont pas relevé d’aggravation et que l’examen clinique est identique. Ce faisant, le SMR considère que les appréciations de la Dre</w:t>
      </w:r>
    </w:p>
    <w:p>
      <w:r>
        <w:t>A/3751/2023 - 24/28 - J______ étaient probantes et que seule une aggravation démontrée objectivement par rapport aux appréciations de la Dre J______ pourrait justifier de ne reconnaître qu’une capacité de travail de 50%. En reprenant le rapport d’expertise de la Dre J______, on constate que cette dernière a estimé que la capacité de travail était de 80% dans l’activité habituelle, du 21 janvier 2022 jusqu’à présent (rapport d’expertise du 19 octobre 2022, p. 68) et ce, malgré le fait que l’experte mandatée par l’OAI mentionne que les plaintes de l’assurée ne sont actuellement pas vraisemblables, sans corrélation avec le dossier, la consultation clinique et les examens complémentaires (rapport d’expertise du 19 octobre 2022, p. 64). Il y a toutefois une contradiction avec ce qu’elle écrit en p. 67, sous ch. 8.1 où la capacité de travail est évaluée par elle à 32 heures par semaine depuis début juillet 2022, puis, elle distingue la capacité de travail dans l’activité habituelle (80%) de celle dans une activité adaptée (100%) alors même que de l’avis de l’assurée, de son médecin traitant et de l’expert L______, l’activité habituelle est une activité adaptée. Cette distinction que fait la Dre J______ entre l’activité de serveuse et une activité adaptée n’a donc pas lieu d’être. En conclusion, pour les raisons déjà expliquées dans l’ordonnance d’expertise du 1erjuillet 2024, les conclusions de la Dre J______ ne peuvent pas être suivies. Rien ne justifie qu’en présence d’appréciations différentes du même état de fait, la chambre de céans retienne, comme le soutient le SMR, les conclusions de la Dre J______ au détriment de celles du Dr L______. En effet,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ce qui n’est pas le cas, en l’espèce, et ce qui n’est pas allégué par le SMR dans son avis médical du 19 novembre 2024, qui considère que l’appréciation de l’expert L______ est une appréciation différente (de celle de la Dre J______) d’un même état de fait, mais ne relève ni de contradictions, ni d’éléments qui mettraient en doute la valeur probante de ladite expertise judiciaire. Étant précisé que l’estimation, par l’expert, de la capacité de travail de l’assurée de 50%, dans toute activité, concorde avec celle du médecin traitant de l’assurée, la rhumatologue H______, comme cela ressort de son rapport médical du 9 juin 2023. Partant, la chambre de céans considère que l’expertise du Dr L______ réunit les conditions permettant de lui reconnaître une pleine valeur probante et fait siennes les conclusions de l’expert selon lesquelles la capacité de travail dans l’activité</w:t>
      </w:r>
    </w:p>
    <w:p>
      <w:r>
        <w:t>A/3751/2023 - 25/28 - actuelle de la recourante dans la restauration et dans toute autre activité professionnelle adaptée est de 50%. 11.3 Il sied à présent d’établir le taux d’invalidité de la recourante, au regard de la capacité de travail de 50% dans toute activité, retenue par l’expert L______. Après réception du projet de décision de l’OAI du 6 juin 2023 qui fixait le revenu sans invalidité à CHF 55'758.- et le revenu avec invalidité à CHF 53’840.- (en distinguant l’activité habituelle d’une activité adaptée), le mandataire de l’assurée a réagi dans un courrier du 5 juillet 2023, en faisant remarquer qu’un abattement de 10% devait être appliqué, en raison des limitations fonctionnelles de sa mandante. Il relevait, en outre, que si la capacité résiduelle de travail n’excédait pas 50%, un abattement de 10% devait de toute manière être appliqué, en application des nouvelles dispositions de la LAI. Cela étant, il ne critiquait pas le montant annuel retenu avec et sans invalidité par l’OAI, mais uniquement l’absence d’abattement. Le revenu sans invalidité de l’assurée a été calculé, selon la note de travail du 16 mai 2023, en se fondant sur les tabelles de l’ESS dans le domaine de la restauration dans lequel l’assurée exerçait depuis 2001, en raison du fait que les gains de l’assurée avaient été fluctuants, dans son activité professionnelle d’employée de restauration, selon les données figurant dans son compte individuel AVS, pour les années 2015 à 2022. Le revenu sans invalidité retenu de CHF 55’758.- (au 21 janvier 2022) ne prête pas le flanc à la critique et correspond à une activité à la fois habituelle et adaptée. Ainsi, le taux correspondant à la capacité de travail de 50% se confond avec le taux d’invalidité. Néanmoins, comme le relève le mandataire de la recourante, il y a lieu d’appliquer un abattement de 10%. En effet, à partir du 1er janvier 2022, suite à la modification de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automatiquement opérée sur la valeur statistique, ce qui correspond, dès le 1er janvier 2022, à un taux d’invalidité de 55%. Partant, dès le 1er novembre 2022 et en application du nouveau droit, la recourante a droit à une rente correspondant au taux d’invalidité de 55%, soit 55% d’une rente entière (art. 28b al. 1 et 2 LAI).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w:t>
      </w:r>
    </w:p>
    <w:p>
      <w:r>
        <w:t>A/3751/2023 - 26/28 - qu’avec une capacité fonctionnelle au sens de l’art. 49, al. 1bis, de 50% ou moins, une déduction de 20% est opérée. Aucune déduction supplémentaire n’est possible. Compte tenu de cette modification, dès le 1er janvier 2024, le taux d’abattement est porté de 10% à 20% ; le nouveau taux d’invalidité de la recourante s’établit à 60% (50% + [20 x 50 / 100 = 10]), donnant droit à une rente équivalente à 60% d’une rente entière. En conclusion, au vu des nouvelles déterminations de l’OAI, résultant de sa réponse du 15 janvier 2024, valant reconsidération (art. 53 al. 2 LPGA), une rente d’invalidité entière est octroyée à la recourante, du 1er novembre 2020 au 31 octobre 2022. Dès le 1er novembre 2022, la recourante a droit à une rente d'invalidité correspondant à 55 % d’une rente entière. Dès le 1er janvier 2024, la recourante a droit à une rente d'invalidité correspondant à 60% d’une rente entière. Étant rappelé que la recourante a droit au paiement d’intérêts moratoires de 5%, sur les arriérés de rente, dès le 24e mois suivant l’exigibilité, selon l'art. 26 al. 2 LPGA. 11.4 La recourante demande une comparution personnelle et l’audition de ses médecins traitants.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122 V 157 consid. 1d). Par appréciation anticipée des preuves, la chambre de céans rejette cette demande d’instruction, qu’elle juge inutile dans la mesure où la recourante et ses médecins traitants ont eu largement l’occasion de s’exprimer par écrit, ce qui rend leur audition superflue. 11.5 En ce qui concerne les frais de l’expertise judiciaire,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w:t>
      </w:r>
    </w:p>
    <w:p>
      <w:r>
        <w:t>A/3751/2023 - 27/28 -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n’est pas le cas en l’espèce, l’OAI ayant mandaté deux experts en matière psychiatrique, quand bien même leurs appréciations divergent de celles des experts judiciaires désignés par la chambre de céans. 12. 12.1 Les frais d’expertise sont laissés à la charge de l’État. 12.2 La recourante, assistée par un mandataire professionnellement qualifié et obtenant partiellement gain de cause, a ainsi droit à une indemnité à titre de participation à ses frais et dépens, que la chambre de céans fixera à CHF 4'000.- (art. 61 let. g LPGA ; art. 89H al. 3 LPA ; art. 6 du règlement sur les frais, émoluments et indemnités en procédure administrative du 30 juillet 1986 [RFPA - RS E 5 10.03]). 12.3 Étant donné que, depuis le 1er juillet 2006, la procédure n'est plus gratuite (art. 69 al. 1bis LAI), au vu du sort du recours, il y a lieu de condamner l'intimé au paiement d'un émolument de CHF 200.-.</w:t>
      </w:r>
    </w:p>
    <w:p>
      <w:r>
        <w:t>A/3751/2023 - 28/28 - PAR CES MOTIFS, LA CHAMBRE DES ASSURANCES SOCIALES : Statuant A la forme :</w:t>
      </w:r>
    </w:p>
    <w:p>
      <w:r>
        <w:rPr>
          <w:b/>
        </w:rPr>
        <w:t>E. 14</w:t>
      </w:r>
    </w:p>
    <w:p>
      <w:r>
        <w:t>avril 2020 consid. 4.2.2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