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ATAS/1042/2017 vom 20. November 2017</w:t>
      </w:r>
    </w:p>
    <w:p>
      <w:r>
        <w:t>GE Cour de justice, 2017-11-20, FR</w:t>
      </w:r>
    </w:p>
    <w:p>
      <w:r>
        <w:rPr>
          <w:b/>
        </w:rPr>
        <w:t xml:space="preserve">Quelle: </w:t>
      </w:r>
      <w:r>
        <w:t>https://mcp.opencaselaw.ch/entscheid/ge_gerichte_ATAS_1042_2017</w:t>
      </w:r>
    </w:p>
    <w:p>
      <w:r>
        <w:t>FR: GE_GERICHTE ATAS/1042/2017 du 20 novembre 2017</w:t>
      </w:r>
    </w:p>
    <w:p>
      <w:r>
        <w:t>IT: GE_GERICHTE ATAS/1042/2017 del 20 novembre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Interjeté dans la forme et le délai prévus par la loi, le recours est recevable (art. 56 ss LPGA et 62 ss LPA).</w:t>
      </w:r>
    </w:p>
    <w:p>
      <w:r>
        <w:rPr>
          <w:b/>
        </w:rPr>
        <w:t>E. 5</w:t>
      </w:r>
    </w:p>
    <w:p>
      <w:r>
        <w:t>Le litige porte sur le point de savoir si l’intimée est tenue de prendre en charge les conséquences des troubles psychiques développés par le recourant et si celui-ci a droit à une rente d’invalidité LAA, ainsi qu’à une indemnité pour atteinte à l'intégrité plus élevées.</w:t>
      </w:r>
    </w:p>
    <w:p>
      <w:r>
        <w:rPr>
          <w:b/>
        </w:rPr>
        <w:t>E. 6</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w:t>
      </w:r>
    </w:p>
    <w:p>
      <w:r>
        <w:t>A/2598/2017 - 14/30 -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En cas d'atteinte à la santé psychique, les règles applicables en matière de causalité adéquate sont différentes selon qu'il s'agit d'un événement accidentel ayant entraîné une affection psychique additionnelle à une atteinte à la santé physique (ATF 115 V 133 consid. 6 p. 138 ss et 403 consid. 5 p. 407 ss), d'un traumatisme psychique consécutif à un choc émotionnel (ATF 129 V 177 consid. 4.2. p. 184 s.), ou encore d'un traumatisme de type "coup du lapin" à la colonne cervicale, d'un traumatisme analogue à la colonne cervicale ou d'un traumatisme cranio-cérébral (ATF 134 V 109). En présence de troubles psychiques consécutifs à un accident qui a également provoqué un trouble somatique, la jurisprudence a dégagé des critères objectifs permettant de juger du caractère adéquat du lien de causalité. Il y a lieu d'une part,</w:t>
      </w:r>
    </w:p>
    <w:p>
      <w:r>
        <w:t>A/2598/2017 - 15/30 - d'opérer une classification des accidents en fonction de leur degré de gravité et, d'autre part, de prendre en considération un certain nombre d'autres critères déterminants (cf. ATF 115 V 133 et 403 précités).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t>A/2598/2017 - 16/30 -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t>A/2598/2017 - 17/30 -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Dans un premier grief, le recourant reproche à l’intimée d’avoir nié un lien de causalité entre ses troubles psychiques et ses divers accidents successifs, respectivement de ne pas avoir instruit la question de ses troubles psychiques. a) En l’espèce, le rapport du Dr G_______ du 17 avril 2014 mentionne pour la première fois un diagnostic d’état dépressif réactionnel, de sorte qu’au degré de la vraisemblance prépondérante, ce trouble psychique est consécutif à l’accident du 1er février 2014. Sur la base de l’appréciation du 14 mai 2014 du Dr H________ arrivant à la conclusion qu’il n’y a pas de lien de causalité naturelle entre l’accident mineur guérissable d’atteinte à la cheville du 1er février 2014 et l’état dépressif réactionnel, l’intimée a nié, le 28 mai 2014, l’existence d’un lien de causalité naturelle entre les troubles psychiques et l’accident touchant la cheville gauche du 1er février 2014, respectivement a refusé de prendre en charge le traitement psychique. b) D'après l'art. 49 al. 1 LPGA, l'assureur doit rendre par écrit les décisions qui portent sur des prestations, créances ou injonctions importantes ou avec lesquelles l'intéressé n'est pas d'accord. Seules les prestations, créances et injonctions qui ne sont pas visées par cette disposition peuvent être traitées selon une procédure simplifiée (art. 51 al. 1 LPGA).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arrêt du Tribunal fédéral 8C_377/2009 du 18 février 2010 consid. 4.2). Lorsque l’assureur refuse des prestations importantes sans rendre de décision formelle, l'art. 51 al. 2 LPGA s'applique par analogie et l'assuré est en droit de demander à l'assureur la décision formelle qui ne lui a pas été adressée Selon la jurisprudence,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1er LPGA</w:t>
      </w:r>
    </w:p>
    <w:p>
      <w:r>
        <w:t>A/2598/2017 - 18/30 - avait été appliquée à juste titre (arrêt du Tribunal fédéral 8C_63/08 du 12 mars 2008 consid. 2). Un délai plus long, jusqu’à quatorze mois, entre en ligne de compte en particulier si l’assuré, qui ne connaît pas le droit et n’est pas représenté par un avocat, peut admettre de bonne foi que l’assureur n’a pas encore voulu rendre de décision de clôture et qu’il est en train de procéder à des mesures complémentaires d’instruction (ATF 134 V 145 consid. 5.3.2). c) En l’occurrence, le recourant n’a contesté le refus de l’intimée du 28 mai 2014 de verser des prestations en relation avec les troubles psychiques que dans le cadre de son complément d’opposition du 6 février 2017, soit près de trois ans après le refus desdites prestations, à savoir dans un délai largement supérieur au délai jurisprudentiel de quatorze mois. Par conséquent, ce refus est entré en force et le recourant ne peut pas reprocher à l’intimée de ne pas avoir instruit la question du lien de causalité naturelle entre les troubles psychiques et l’entorse de la cheville gauche. d) Par surabondance, le lien de causalité adéquate entre lesdits troubles psychiques et l’accident du 1er février 2014 doit être nié ; dès lors que le recourant n’est tombé que d’une hauteur d'homme, l'accident doit être qualifié de chute banale voire, tout au plus à la limite inférieure de la catégorie des accidents de gravité moyenne (cf. arrêt du Tribunal fédéral 8C_510/2008 du 24 avril 2009 consid. 5.2; arrêts du Tribunal fédéral des assurances U 272/01 du 30 septembre 2002 consid. 4.2.1 et U 199/99 du 19 mai 2000 consid. 4c). Au demeurant, il n’y a pas d'éléments de nature à faire apparaître la chute en cause comme particulièrement impressionnante ou dramatique. La lésion qu'elle a entraînée (entorse moyenne de la cheville gauche) ne saurait être qualifiée de grave et propre, selon l'expérience, à entraîner des troubles psychiques. Quant aux autres critères, ils ne sont pas davantage réalisés puisque selon la notice du Dr I________ du 22 janvier 2015, le statu quo sine a été atteint le 1er mai 2014, soit trois mois après l’accident. Quant au lien de causalité adéquate entre les troubles psychiques et l’accident du 1er décembre 2011, ce dernier doit également être qualifié d’accident banal tout au plus à la limite inférieure de la catégorie des accidents de gravité moyenne, sans caractère particulièrement impressionnant ou dramatique pour les mêmes raisons que celui du 1er février 2014. Cette entorse sévère de la cheville gauche avec arrachement minime osseux à la malléole interne a entraîné des séquelles sous forme d’arthrose de la gouttière interne avec conflit malléolaire et talien. Selon le rapport du Dr E________ du 10 septembre 2012, le traitement relatif à cette entorse avec conflit malléolaire a pris fin le 31 août 2012, à savoir dix-huit mois après l’accident, soit un suivi médical devant être considéré comme normal pour le type de traumatisme subi (cf. arrêt du Tribunal fédéral des assurances U 93/04 du</w:t>
      </w:r>
    </w:p>
    <w:p>
      <w:r>
        <w:rPr>
          <w:b/>
        </w:rPr>
        <w:t>E. 14</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w:t>
      </w:r>
    </w:p>
    <w:p>
      <w:r>
        <w:t>A/2598/2017 - 25/30 - ou sur les données salariales résultant des DPT établies par la CNA (ATF 135 V 297 consid. 5.2; ATF 129 V 472 consid. 4.2.1).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(ATF 129 V 472). Les éventuelles objections de l'assuré sur le choix et sur la représentativité des DPT dans un cas concret doivent être soulevées, en principe, durant la procédure d'opposition (ATF 129 V 472 consid. 4.2.2).</w:t>
      </w:r>
    </w:p>
    <w:p>
      <w:r>
        <w:rPr>
          <w:b/>
        </w:rPr>
        <w:t>E. 15</w:t>
      </w:r>
    </w:p>
    <w:p>
      <w:r>
        <w:t>En l’espèce, l’intimée a fixé le degré d’invalidité à la date de la décision en comparant le revenu sans invalidité de CHF 64'080.- avec un revenu d’invalide de CHF 56'351.80 déterminé sur la base de cinq DPT tenant compte des limitations fonctionnelles retenues par le Dr I________. Le recourant ne conteste aucun de ces revenus et se borne à contester l’existence d’une quelconque capacité de travail dans une activité adaptée. Toutefois, au regard de la valeur probante de l’appréciation du Dr I________, il n’y a pas lieu de remettre en question ses conclusions quant à une pleine capacité de travail dans une activité adaptée. Dans sa décision du 21 novembre 2016, l’intimée a déterminé le revenu d’invalide en se basant sur les DTP no 10907823 (aide de restaurant, caissier polyvalent, ELDORA restaurant, Gland), n° 7237 (huissier, société coopérative MIGROS, Carouge), n° 12845863 (conducteur d’élévateurs, cariste, LRG Groupe SA, Plan- les-Ouates), n° 1551(employé de garage, lavage automatique de voitures, AMAG automobiles et moteurs SA, Lausanne) et n° 10054392 (employé de commerce, papier, emballage, MAVALA SA, Carouge). Puis, dans sa décision sur opposition, elle a pris en considération les DTP no 10910383 (aide de restaurant, caissier polyvalent, ELDORA restaurant, Le Sentier), n° 12845863, n° 10491 (collaborateur de production, taillage, VACHERON CONSTANTIN, Le Lieu), n°10054392 et 10906833 (collaborateur de production, caissier de port, CGN SA Lausanne- Ouchy) afin de mieux tenir compte de la nécessité de l’alternance des positions assise et debout. Enfin, dans son mémoire de réponse, elle se base sur les DTP nos 10910383, 12845863, 10491, n° 5825 (collaborateur de production, conducteur de palan, FAVRE SA, Corcelles-près-Payerne) et n° 11576 (collaborateur de production, soudure laser, IAR Laser mécanique SA, Echallens). En outre, elle a fait état de cent-trente-cinq postes (décision), respectivement cent- trente-et-un postes (décision sur opposition) et cent-treize postes (réponse) pouvant entrer en considération dans les cantons de Genève et Vaud selon les limitations fonctionnelles dont souffre le recourant et a indiqué les salaires minimum, maximum et moyen. Sur cette base, elle a admis un revenu d'invalide de</w:t>
      </w:r>
    </w:p>
    <w:p>
      <w:r>
        <w:t>A/2598/2017 - 26/30 - CHF 4'695.- par mois (part au treizième salaire comprise), soit de CHF 56'351.80 par année. Le recourant ne soulève aucune objection sur le choix et sur la représentativité des DPT dans le cas concret, bien qu’il ait eu la possibilité de consulter les DPT sur lesquelles se base la décision du 21 novembre 2016 avant de motiver son opposition et ait reçu une copie des DPT retenues tant dans le cadre de la décision sur opposition que de la réponse de l’intimée. Le recourant ne contestant ni les DPT sélectionnées par l’intimée, ni le revenu avec invalidité, ni le revenu sans invalidité, il n’y a pas lieu de calculer son degré d’invalidité sur la base d’autres chiffres que ceux retenus par l’intimée. Aussi, il ressort de la comparaison des revenus avec et sans invalidité une diminution de revenu de CHF 7'728.20 (64'080.00 – 56'351.80), respectivement un degré d’invalidité de 11.926 % (7'7728.20 : 64'800 x 100). Par conséquent, il convient de confirmer la décision querellée sur ce point, respectivement le droit du recourant à une rente d’invalidité de 12 %.</w:t>
      </w:r>
    </w:p>
    <w:p>
      <w:r>
        <w:rPr>
          <w:b/>
        </w:rPr>
        <w:t>E. 16</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Au moment de l’accident en 2011, le montant maximum du gain assuré s’élevait à CHF 126'000.- par an et CHF 346.- par jour (art. 22 al. 1 de l'ordonnance sur l'assurance-accidents, du 20 décembre 1982 [OLAA - RS 832.202]; RO 1998 151). b)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et les références).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(ATF 133 V 224 consid. 5.1 et les références). Contrairement à l’évaluation du tort moral, la</w:t>
      </w:r>
    </w:p>
    <w:p>
      <w:r>
        <w:t>A/2598/2017 - 27/30 -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 12 janvier 2004 consid. 5.2). c)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1ère phrase). Il sera équitablement tenu compte des aggravations prévisibles de l'atteinte à l'intégrité; une révision n'est possible qu'en cas exceptionnel si l'aggravation est importante et n'était pas prévisible (al. 4).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w:t>
      </w:r>
    </w:p>
    <w:p>
      <w:r>
        <w:rPr>
          <w:b/>
        </w:rPr>
        <w:t>E. 17</w:t>
      </w:r>
    </w:p>
    <w:p>
      <w:r>
        <w:t>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w:t>
      </w:r>
    </w:p>
    <w:p>
      <w:r>
        <w:t>A/2598/2017 - 28/30 -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rPr>
          <w:b/>
        </w:rPr>
        <w:t>E. 18</w:t>
      </w:r>
    </w:p>
    <w:p>
      <w:r>
        <w:t>Dans un dernier grief, le recourant soutient que son atteinte à la santé est bien plus importante que le taux de l’indemnité pour atteinte à l’intégrité retenu dans la décision litigieuse dès lors qu’il n’est pas en mesure d’exercer un quelconque emploi adapté. Etant donné que l'indemnité pour atteinte à l'intégrité ne sert pas à réparer les conséquences économiques de l'atteinte à la santé - qui sont indemnisées au moyen d'une rente d'invalidité -, mais vise à compenser le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elle ne dépend pas du taux de la capacité résiduelle de travail du recourant. Par conséquent, ce grief ne peut être que rejeté. Dans son évaluation de l’atteinte à l’intégrité du 14 octobre 2016, le Dr I________ a pris en considération les douleurs du recourant à la cheville gauche, puisqu’il a tenu compte d’une arthrose tibio-tarsienne qui, par définition, est douloureuse. Par conséquent, il prend en compte les plaintes du recourant. Son évaluation repose sur son examen clinique du 23 septembre 2015, le dossier radiologique et le dossier médical. Il explique également pourquoi il retient un taux de 10 %. Par ailleurs, aucun rapport médical au dossier ne procède à une évaluation divergente de l’atteinte à l’intégrité du recourant à la cheville gauche. Au contraire, dans son appréciation du 29 août 2017, qui procède à un nouvel examen de l’évaluation de l’atteinte à l’intégrité, la Dresse L________ retient l’existence d’une arthrose tibio- tarsienne moyenne donnant droit à une indemnité pour atteinte à l’intégrité de 5 % à</w:t>
      </w:r>
    </w:p>
    <w:p>
      <w:r>
        <w:t>A/2598/2017 - 29/30 - 15 %. Elle explique que dans la mesure où ladite arthrose touche uniquement la partie médiane ou interne de l’articulation, il se justifie d’appliquer un taux de 10 %, soit un taux inférieur au taux maximum de 15 %. Elle confirme ainsi l’évaluation du Dr I________, qui remplit tous les critères jurisprudentiels permettant de lui reconnaître une pleine valeur probante. En l’espèce, les limitations subies par le recourant sont moins importantes qu’en cas d’arthrodèse de la cheville (blocage complet de l’articulation), qui donne droit à une indemnité pour atteinte à l’intégrité de 15 % selon la table 5, puisqu’il présente un léger déficit en dorso-flexion et non un blocage total de l’articulation, de sorte que l’atteinte à l’intégrité pour cette limitation est inférieure à 15 %. Par conséquent, il n’existe pas de motif sérieux justifiant de s’écarter de l’appréciation du Dr I________. En définitive, il y a lieu de confirmer l’octroi d’une indemnité pour atteinte à l’intégrité de 10 % en raison des troubles de la cheville gauche.</w:t>
      </w:r>
    </w:p>
    <w:p>
      <w:r>
        <w:rPr>
          <w:b/>
        </w:rPr>
        <w:t>E. 19</w:t>
      </w:r>
    </w:p>
    <w:p>
      <w:r>
        <w:t>Au vu de ce qui précède, le recours sera rejeté. Obtenant gain de cause, l’intimée conclut à l’octroi de dépens. Toutefois, tant l’art. 61 let. g LPGA que l’art. 89H al. 3 LPA-GE ne prévoient l’allocation de dépens qu’au recourant qui obtient gain de cause. Par conséquent, l'intimée sera déboutée de sa conclusion. Pour le surplus, la procédure est gratuite (art. 61 let. a LPGA).</w:t>
      </w:r>
    </w:p>
    <w:p>
      <w:r>
        <w:t>A/2598/2017 - 30/30 -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