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ATAS/1042/2016 vom 12. Dezember 2016</w:t>
      </w:r>
    </w:p>
    <w:p>
      <w:r>
        <w:t>GE Cour de justice, 2016-12-12, FR</w:t>
      </w:r>
    </w:p>
    <w:p>
      <w:r>
        <w:rPr>
          <w:b/>
        </w:rPr>
        <w:t xml:space="preserve">Quelle: </w:t>
      </w:r>
      <w:r>
        <w:t>https://mcp.opencaselaw.ch/entscheid/ge_gerichte_ATAS_1042_2016</w:t>
      </w:r>
    </w:p>
    <w:p>
      <w:r>
        <w:t>FR: GE_GERICHTE ATAS/1042/2016 du 12 décembre 2016</w:t>
      </w:r>
    </w:p>
    <w:p>
      <w:r>
        <w:t>IT: GE_GERICHTE ATAS/1042/2016 del 12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A teneur de l’art. 60 al. 1 LPGA, le recours doit être déposé dans les trente jours suivant la notification de la décision sujette à recours. Les délais sont réputés observés lorsque l'acte de recours est parvenu à l'autorité ou a été remis à son adresse à un bureau de poste suisse ou à une représentation diplomatique ou consulaire suisse au plus tard le dernier jour du délai avant minuit (art. 17 al. 4 de la loi sur la procédure administrative du 12 septembre 1985; LPA - E 5 10). La jurisprudence et la doctrine dominante s'accordent à dire qu'il faut également entendre par "poste" les boîtes postales destinées à récolter le courrier non recommandé, car, dès cet instant, le pli est sous la garde de l'administration postale et ne peut plus être restitué à son expéditeur; ainsi le délai peut être observé par le dépôt du pli ordinaire dans une boîte postale avant minuit, même après la dernière levée, ce qui pose en revanche le problème de la preuve (ATF 109 Ia 183 consid. 3a p. 184; JAAC 61 (1997) n. 14, p. 147; B. KNAPP, Précis de droit administratif, Bâle 1991, p. 400 n. 1923). La preuve de la notification d'une décision incombe à l'autorité. En revanche, la preuve stricte de l'observation du délai de recours, donc de l'expédition de l'acte en temps utile, incombe à la partie (art. 8 CC; ATF 121 V 5 consid. 3b ; arrêts du Tribunal fédéral 8C_661/2015 du 14 juin 2016 consid. 2.2 et 9C_118/2016 du 19 avril 2016 consid. 2.1 et les références). Le délai de recours est considéré comme respecté lorsque l'acte a notamment été remis au plus tard le dernier jour du délai à minuit dans une boîte aux lettres (ATF 109 Ia 183 consid. 3a ; arrêt du</w:t>
      </w:r>
    </w:p>
    <w:p>
      <w:r>
        <w:t>A/2109/2016 - 11/23 - Tribunal fédéral 1F_10/2010 du 17 mai 2010).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124 V 372 consid. 3b ; ATF 115 Ia 8 consid. 3a ; ATF 109 Ib 343 consid. 2b ; arrêts du Tribunal fédéral 9C_139/2016 du 24 mai 2016 consid. 2, et 9C_118/2016 du 19 avril 2016). b. En l’espèce, la recourante prétend avoir reçu la décision querellée le 23 mai 2016, ce qui n’est pas contesté par l’OAI, de sorte que le délai expirait le 22 juin 2016. Le 24 juin 2016, la chambre de céans a reçu une enveloppe contenant le recours, munie du sceau postal mentionnant la date du 23 juin 2016. Le 23 juin 2016, le conseil de la recourante a adressé à la chambre de céans une attestation non datée, signée par Monsieur I______, président d’ASSUAS, et Madame J______, domiciliée à la même adresse qu’ASSUAS, confirmant l’avoir vu glisser, dans une boîte aux lettres de la poste de Carouge, une enveloppe destinée à la chambre de céans. Monsieur I______ est président d’ASSUAS, le conseil de la recourante. Son témoignage ne saurait par conséquent constituer un témoignage indépendant compte tenu du lien qui l’unit au conseil de la recourante. En revanche, si Madame J______ est une voisine de cette même association, cela ne suffit pas encore pour remettre en question ses déclarations. Par ailleurs, le 22 juin 2016, le conseil de la recourante a faxé le recours à la chambre de céans à 19h46, ce qui constitue un indice supplémentaire du dépôt à la poste le 22 juin 2016. Force est ainsi de constater, au vu de la jurisprudence, que la recourante a établi, par témoin, que le pli a été déposé en temps utile dans une boîte aux lettres et que vu l’heure, il n’avait pu être oblitéré que le lendemain. Dans ces circonstances, le recours a été interjeté dans le délai prévu par l’art. 60 al. 1 LPGA, ce qui n’est au demeurant pas contesté par l’OAI. Par ailleurs, dans la mesure où il répond aux autres conditions formelles, le recours doit être déclaré recevable en vertu des art. 56ss LPGA.</w:t>
      </w:r>
    </w:p>
    <w:p>
      <w:r>
        <w:rPr>
          <w:b/>
        </w:rPr>
        <w:t>E. 4</w:t>
      </w:r>
    </w:p>
    <w:p>
      <w:r>
        <w:t>Le litige porte sur le droit de la recourante à une rente au-delà du 30 novembre 2014, singulièrement sur sa capacité de travail dans une activité adaptée.</w:t>
      </w:r>
    </w:p>
    <w:p>
      <w:r>
        <w:rPr>
          <w:b/>
        </w:rPr>
        <w:t>E. 4.2</w:t>
      </w:r>
    </w:p>
    <w:p>
      <w:r>
        <w:t>avec références, concernant les cas où le service médical n'examine pas l'assuré mais se limite à apprécier la documentation médicale déjà versée au dossier).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b/dd. A noter, dans ce contexte, que le simple fait qu'un avis médical divergent - même émanant d'un spécialiste - ait été produit ne suffit pas à lui seul à remettre en</w:t>
      </w:r>
    </w:p>
    <w:p>
      <w:r>
        <w:t>A/2109/2016 - 17/23 - cause la valeur probante d'un rapport médical (arrêt du Tribunal fédéral des assurances U 365/06 du 26 janvier 2007 consid. 4.1).</w:t>
      </w:r>
    </w:p>
    <w:p>
      <w:r>
        <w:rPr>
          <w:b/>
        </w:rPr>
        <w:t>E. 5</w:t>
      </w:r>
    </w:p>
    <w:p>
      <w:r>
        <w:t>En premier lieu, la recourante invoque une violation de son droit d’être entendue, l’intimé ayant statué sans attendre les rapports des Drs K______ et E______ alors qu’il avait été informé de la demande faite dans ce sens. a. A teneur de l’art. 73ter al. 1 du règlement du 17 janvier 1961 sur l’assurance- invalidité du 17 janvier 1961 (RAI - RS 831.201), les parties peuvent faire part à l’office AI de leurs observations sur le préavis dans un délai de 30 jours. A ce jour, le Tribunal fédéral n’a pas tranché la question du caractère prolongeable du délai de 30 jours précité (voir notamment 8C_526/2012 consid. 3.1). Il a</w:t>
      </w:r>
    </w:p>
    <w:p>
      <w:r>
        <w:t>A/2109/2016 - 12/23 - toutefois considéré que le droit d’être entendu était violé lorsque l’office AI rendait sa décision avant que le délai imparti à l’assuré pour formuler les observations s’agissant du préavis soit échu (arrêt du Tribunal fédéral I 658/04 consid. 5). Le Tribunal fédéral a également considéré qu’il y a une grave violation du droit d’être entendu lorsque l’office AI rend une décision sans prendre en considération et entrer en matière sur la demande de prolongation du délai formulée par l’assuré, qui s’est déjà exprimé, mais qui demande, dans le délai de 30 jours, à pouvoir bénéficier d’une prolongation de délai pour pouvoir consulter le conseil juridique, constitué dans l’intervalle, afin d’obtenir un avis spécialisé (arrêt du Tribunal fédéral I 459/02 consid. 4). Une violation du droit d’être entendu est toutefois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l’occurrence, la question de la violation du droit d’être entendu invoquée par la recourante peut rester ouverte, dès lors qu’une telle violation aurait quoi qu’il en soit été réparée, dans la mesure où la présente procédure a fait l’objet d’un échange d’écriture au cours duquel la recourante a pu fournir toutes les explications utiles à l’appui de sa position et produire les pièces qu’elle estimait pertinentes. Au vu des considérations qui précèdent, le grief de la recourante, tendant à la constatation de la violation de son droit d’être entendue et selon toute vraisemblance à l’annulation de la décision querellée pour ce seul motif déjà, doit être rejeté.</w:t>
      </w:r>
    </w:p>
    <w:p>
      <w:r>
        <w:rPr>
          <w:b/>
        </w:rPr>
        <w:t>E. 6</w:t>
      </w:r>
    </w:p>
    <w:p>
      <w:r>
        <w:t>Il convient désormais d’examiner le droit à la rente de la recourante et plus particulièrement sa capacité de travail.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w:t>
      </w:r>
    </w:p>
    <w:p>
      <w:r>
        <w:t>A/2109/2016 - 13/23 - la capacité de gain ont subi un changement important (ATF 130 V 343 consid. 3.5; ATF 113 V 273 consid. 1a; arrêt du Tribunal fédéral 9C_1006/2010 du 22 mars 2011 consid 2.2).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w:t>
      </w:r>
    </w:p>
    <w:p>
      <w:r>
        <w:t>A/2109/2016 - 14/23 -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A/2109/2016 - 15/23 -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b/bb. 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A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w:t>
      </w:r>
    </w:p>
    <w:p>
      <w:r>
        <w:t>A/2109/2016 - 16/23 -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A/2109/2016 - 18/23 -</w:t>
      </w:r>
    </w:p>
    <w:p>
      <w:r>
        <w:rPr>
          <w:b/>
        </w:rPr>
        <w:t>E. 11</w:t>
      </w:r>
    </w:p>
    <w:p>
      <w:r>
        <w:t>a. En l’espèce, l’OAI s’est essentiellement fondé sur le rapport du Dr H______ du 30 septembre 2015 pour mettre un terme au versement de la rente avec effet au 30 novembre 2014. Il y a donc lieu d’examiner la valeur probante de ce document. A titre liminaire, il convient de relever que le Dr H______, en tant que médecin du SMR, a réalisé un examen sur la personne au sens de l’art. 49 al. 2 RAI. Il ne s’agit donc pas d’une expertise au sens de l’art. 44 LPGA. Cela ne signifie cependant pas pour autant que la valeur probante dudit document doit être niée. Elle doit simplement être examinée conformément aux réquisits jurisprudentiels généraux. Cela étant précisé, force est de constater que le rapport du Dr H______ daté du 30 septembre 2015, remplit sur le plan formel toutes les exigences auxquelles la jurisprudence soumet la valeur probante d'un tel document. Il contient un résumé du dossier, une anamnèse détaillée, les indications subjectives de la recourante, des observations cliniques, ainsi qu’une discussion générale du cas, et ses conclusions, qui résultent d'une analyse complète de la situation médicale, sont claires, bien motivées et convaincantes. Sur le fond, l’expert retient les diagnostics de lombalgies de type mécanique, persistantes après la cure de hernie discale, dans un contexte de protrusions discales et troubles dégénératifs postérieurs étagés (M54.5) (avec répercussion sur la capacité de travail) et de pieds plats bilatéraux, composante d’une aponévrosité plantaire (sans répercussion sur la capacité de travail), étant notamment précisé qu’aucun des triggers points de la fibromyalgie n’avaient été constatés. Les atteintes précitées entraînaient des limitations fonctionnelles au niveau du rachis lombaire, à savoir pas de mouvements répétés de flexion-extension du tronc, pas d’attitude en porte-à-faux prolongée, pas de port de charges répété au-delà de 5 kg, occasionnel au-delà de 10 kg, au vu de la stature de l’assurée et pas de position assise prolongée au-delà d’une heure ou debout au-delà de 30 minutes. En raison de ces atteintes, l’assurée était capable de travailler à 50% dans son activité habituelle et à 100% dans une activité adaptée et ce, depuis le 18 septembre 2014.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b/aa. En l’espèce, la recourante critique l’appréciation du Dr H______ expliquant en substance qu’elle persistait à ressentir des douleurs invalidantes et cela, même au-delà du 30 novembre 2014. C'est le lieu de rappeler, dans ce contexte, que compte tenu des difficultés, en matière de preuve, à établir l'existence de douleurs, les simples plaintes subjectives</w:t>
      </w:r>
    </w:p>
    <w:p>
      <w:r>
        <w:t>A/2109/2016 - 19/23 -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(ATAS/526/2012 du 19 avril 2012 consid. 8b). Or, force est de constater que, dans son rapport du 30 septembre, le Dr H______ a évoqué diverses discordances entre la gestuelle de la recourante et ses plaintes (diminution de la force à l’extension de la cheville gauche signalée par la recourante mais capacité de celle-ci de se promener tous les jours entre deux et trois heures sans porter d’attelle anti-step ni utiliser des cannes ; gestuelle rapide et sans éprouver d’inconfort lorsqu’elle s’adressait à l’interprète pour décrire les atteintes, alors que, de manière peu cohérente, les transferts couché-assis étaient ralentis). Le médecin précité a également considéré que les protrusions discales aux deux derniers étages lombaires et les troubles dégénératifs postérieurs étagés n’expliquaient que partiellement les symptômes décrits par la recourante. Dans ces circonstances, il doit être considéré que les plaintes de la recourante ne concordent pas avec les observations médicales concluantes, de sorte qu’il est tout à fait cohérent que le Dr H______ ne retienne aucune incapacité de travail dans une activité respectant les limitations fonctionnelles d’épargne du rachis. b/bb. Le recourante se réfère également à l’appréciation du Dr C______ du 18 février 2016 pour justifier son incapacité de travail en raison de ses douleurs. Or, il ressort de cette appréciation que, du point de vue neurochirurgical, il n’y avait pas de contre-indications à la reprise d’une activité. Se fondant sur divers facteurs psychosociaux, que l’assurance-invalidité n’a pas à prendre en considération, le Dr C______ a considéré que la recourante était incapable de reprendre son activité professionnelle habituelle. Il ne se prononce toutefois pas sur la capacité de travail dans une activité adaptée. L’appréciation du Dr C______ ne permet par conséquent pas non plus de remettre en question les conclusions du Dr H______. c. Dans ses observations du 29 janvier 2015, la recourante a également évoqué deux autres griefs (contradiction entre la position de l’OAI et celle de l’OCE et réalisation d’une expertise psychiatrique), non repris dans son recours. Pour des motifs d’exhaustivité, la chambre de céans se prononcera tout de même sur lesdits griefs :</w:t>
      </w:r>
    </w:p>
    <w:p>
      <w:r>
        <w:t>A/2109/2016 - 20/23 - − S’agissant tout d’abord de la contradiction entre la position de l’OAI et celle de l’OCE, il y a lieu de rappeler que l'assurance-invalidité et l'assurance-chômage ne sont pas des branches d'assurance complémentaires, ce qui aurait pour conséquence qu'un assuré exclu de l'une d'elles pourrait, dans tous les cas, toucher les prestations de l'autre. L'assuré, qui, malgré de graves atteintes à sa santé, n'a pas une incapacité de gain suffisante pour prétendre à une rente, peut également être déclaré inapte au placement par l'assurance. Ainsi, il se peut qu'une même atteinte à la santé conduise l'assurance-invalidité à reconnaître une pleine capacité de travail et que, de son côté, l'assurance-chômage nie l'aptitude au placement. En outre, les décisions de l'assurance-invalidité, respectivement de l'assurance-chômage n'ont aucun effet obligatoire pour l'autre assurance (arrêt du Tribunal fédéral 9C_131/2010 du 6 octobre 2010 consid. 6 et les références). Ainsi, le grief de la contradiction entre l’appréciation de l’OAI et celle de l’OCE n’est pas pertinent. − Concernant l’expertise psychiatrique, force est de constater qu’aucun des médecins ayant examiné la recourante n’ont expressément évoqué des troubles psychiques. Si les médecins du service de rhumatologie des HUG ont certes mentionné un probable état dépressif non-verbalisé, ils ont également indiqué que le score de l’autoévaluation tendait vers une dépression discrète voire douteuse, ce qui est insuffisant pour être constitutif d’une atteinte incapacitante au sens de l’assurance-invalidité. Quant au Dr C______, il s’est référé à des éléments psychosociaux (isolement social, difficultés à s’exprimer en français, etc.) qui ne peuvent être pris en considération en matière d’assurance-invalidité. Enfin, le simple fait que la recourante sollicite un suivi psychiatrique ou psychologique n’est pas encore suffisant pour attester d’une atteinte psychique invalidante. D’ailleurs, le Dr E______, médecin traitant, ne s’est à aucun moment référé à des symptômes évoquant une maladie psychiatrique et il n’a jamais expliqué ne pas avoir été en mesure d’indiquer le nom d’un confrère psychiatre parlant vietnamien. Dans ces circonstances, c’est à juste titre que l’OAI n’a pas ordonné de complément sous la forme d’une expertise psychiatrique. d. Au vu de ce qui précède, la chambre de céans constate que la recourante n’a pas été en mesure de faire valoir des éléments objectifs précis justifiant, d'un point de vue médical, d'envisager la situation selon une perspective différente ou, à tout le moins, la mise en œuvre d'un complément d'instruction. Il y a donc lieu de reconnaître une pleine valeur probante au rapport du Dr H______ et de considérer que la recourante était capable de travailler à 100% dans une activité adaptée et ce, dès le 18 septembre 2014, à savoir dans une activité n’exigeant pas de mouvements répétés de flexion-extension du tronc, d’attitude en porte-à-faux prolongée, de port de charges répété au-delà de 5 kg, occasionnel au-delà de 10 kg ni la position assise prolongée au-delà d’une heure ou debout au-delà de 30 minutes.</w:t>
      </w:r>
    </w:p>
    <w:p>
      <w:r>
        <w:t>A/2109/2016 - 21/23 - C’est donc à juste titre que l’OAI s’est fondé sur l’appréciation du Dr H______, pour calculer le taux d’invalidité de la recourante.</w:t>
      </w:r>
    </w:p>
    <w:p>
      <w:r>
        <w:rPr>
          <w:b/>
        </w:rPr>
        <w:t>E. 12</w:t>
      </w:r>
    </w:p>
    <w:p>
      <w:r>
        <w:t>a. La recourante n’ayant pas contesté le calcul du degré d’invalidité, il n’y a pas lieu d’examiner ce point de manière détaillée. A l’exception de la référence au tableau TA1_tirage_skill_level qui est erronée, le tableau à prendre en considération étant le tableau TA1_skill_level (correspondant au tableau TA1 des ESS antérieures à 2012), le calcul effectué par l’OAI est correct. Au demeurant, même en retenant un abattement hypothétique de 25%, le degré d’invalidité se monterait à 28%, ce qui reste insuffisant pour maintenir le droit à une rente. b. La recourante n’a pas non plus contesté la date à laquelle l’OAI a mis un terme à la rente. Cependant, en vertu de l’application d’office du droit, la chambre de céans a examiné ce point et est arrivée à la conclusion que c’était de manière prématurée que l’OAI avait mis un terme à la rente. En effet,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(ATF 131 V 164 consid. 2.2 ; 125 V 413 consid. 2d, arrêts du Tribunal fédéral 9C_344/2010 du 1er février 2011 consid. 4.2 et 9C_266/2010 du 8 octobre 2010 consid. 3.3). En vertu de l'art.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l’espèce, le Dr H______ a considéré que la capacité de travail de la recourante s’était améliorée à compter du 18 septembre 2014, date de la dernière consultation par le Dr C______. Ainsi, le délai de trois mois prévu par l’art. 88a al. 1 RAI a expiré le 18 décembre 2014. Conformément à la disposition précitée et à la jurisprudence en la matière, l’OAI ne pouvait pas supprimer la rente avec effet au début du mois au cours duquel le délai de trois mois a expiré mais devait le faire avec effet à la fin du mois, soit en l’espèce, avec effet au 31 décembre 2014 (voir arrêt du Tribunal fédéral 9C_900/2013 du 8 avril 2014 consid. 6.5 dans le même sens). Ainsi, le recours devra être admis sur ce point.</w:t>
      </w:r>
    </w:p>
    <w:p>
      <w:r>
        <w:rPr>
          <w:b/>
        </w:rPr>
        <w:t>E. 13</w:t>
      </w:r>
    </w:p>
    <w:p>
      <w:r>
        <w:t>Au vu de ce qui précède, le recours sera très partiellement admis et la décision du 20 mai 2015 sera annulée en tant qu’elle supprime le droit à la rente avec effet au 30 novembre 2014 et non au 31 décembre 2014. La recourante obtenant très partiellement gain de cause, une indemnité de CHF 500.- lui sera accordée à titre de participation à ses frais et dépens (art. 61 let.</w:t>
      </w:r>
    </w:p>
    <w:p>
      <w:r>
        <w:t>A/2109/2016 - 22/23 -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A/2109/2016 - 23/23 -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