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ATAS/1041/2016 vom 13. Dezember 2016</w:t>
      </w:r>
    </w:p>
    <w:p>
      <w:r>
        <w:t>GE Cour de justice, 2016-12-13, FR</w:t>
      </w:r>
    </w:p>
    <w:p>
      <w:r>
        <w:rPr>
          <w:b/>
        </w:rPr>
        <w:t xml:space="preserve">Quelle: </w:t>
      </w:r>
      <w:r>
        <w:t>https://mcp.opencaselaw.ch/entscheid/ge_gerichte_ATAS_1041_2016</w:t>
      </w:r>
    </w:p>
    <w:p>
      <w:r>
        <w:t>FR: GE_GERICHTE ATAS/1041/2016 du 13 décembre 2016</w:t>
      </w:r>
    </w:p>
    <w:p>
      <w:r>
        <w:t>IT: GE_GERICHTE ATAS/1041/2016 del 13 dicembre 2016</w:t>
      </w:r>
    </w:p>
    <w:p>
      <w:pPr>
        <w:pStyle w:val="Heading2"/>
      </w:pPr>
      <w:r>
        <w:t>Erwägungen</w:t>
      </w:r>
    </w:p>
    <w:p>
      <w:r>
        <w:rPr>
          <w:b/>
        </w:rPr>
        <w:t>E. 8</w:t>
      </w:r>
    </w:p>
    <w:p>
      <w:r>
        <w:t>Répondant tardivement à la demande d’informations de l’OAI, soit le 15 décembre 2015, la doctoresse E_______ du Centre médical et sportif de Peillonnex, a retenu les diagnostics suivants, ayant un effet sur la capacité de travail : status post fracture C7 traitement conservateur, accident de la voie publique (2007), cervico- scapulalgies avec paresthésies D3-4-5 gauches sur uncarthrose pluri-étagée de C7- D1, stress post-traumatique, status post entorse cervicale, accident de la voie publique (18 février 2015) et scoliose (depuis l’enfance). Elle a fixé l’incapacité de travail de l’assurée à 100% depuis 2007, ajoutant qu’en raison de douleurs cervico-scapulaires et dorsales invalidantes, celle-ci est dans l’incapacité de rester debout ou assise, et ne peut travailler plus de deux heures.</w:t>
      </w:r>
    </w:p>
    <w:p>
      <w:r>
        <w:rPr>
          <w:b/>
        </w:rPr>
        <w:t>E. 9</w:t>
      </w:r>
    </w:p>
    <w:p>
      <w:r>
        <w:t>Par courrier du 11 janvier 2016, l’assurée a contesté le projet de décision de l’OAI. Elle constate qu’il fait suite au rapport du Dr D_______ du 6 octobre 2015, et relève que l’examen de ce médecin date du mois de mars 2015 déjà et que son cas a à nouveau été examiné par le Dr C_______ pour la Nationale Suisse le 3 juin 2015. De plus, un rapport complémentaire a été rédigé par la Dresse E_______ le 15 décembre 2015.</w:t>
      </w:r>
    </w:p>
    <w:p>
      <w:r>
        <w:t>A/2158/2016 - 4/15 -</w:t>
      </w:r>
    </w:p>
    <w:p>
      <w:r>
        <w:rPr>
          <w:b/>
        </w:rPr>
        <w:t>E. 10</w:t>
      </w:r>
    </w:p>
    <w:p>
      <w:r>
        <w:t>Il résulte d’une note téléphonique du 13 janvier 2016, que le Dr D_______ a repris la patientèle du Dr F_______ et n’a vu l’assurée qu’à deux reprises.</w:t>
      </w:r>
    </w:p>
    <w:p>
      <w:r>
        <w:rPr>
          <w:b/>
        </w:rPr>
        <w:t>E. 11</w:t>
      </w:r>
    </w:p>
    <w:p>
      <w:r>
        <w:t>Invité à se déterminer, le médecin du SMR a relevé, le 26 janvier 2016, que « Au total, cette assurée a présenté une distorsion cervicale de degré IV avec une fracture-tassement de C7 en 2007. Depuis 2011, il existe des douleurs en partie subjective et des troubles sensitivomoteurs facio-brachio-cruraux G sans substrat somatique objectivable. En février 2015, l’assurée présente une nouvelle entorse cervicale, sans nouvelle lésion anatomique. L’expert neurologue et le neurochirurgien traitant, n’attestent pas d’incapacité de travail en lien avec ces atteintes. L’existence de troubles statiques et dégénératifs du rachis connus de longue date doit cependant faire respecter certaines limitations fonctionnelles. Dans une activité légère, ne nécessitant pas de port de charges régulier de plus de 10 kg, autorisant des changements de positions fréquents de la nuque et de l’ensemble du corps, la capacité de travail de l’assurée reste entière depuis toujours ». Selon le médecin du SMR, la situation décrite par le médecin traitant le</w:t>
      </w:r>
    </w:p>
    <w:p>
      <w:r>
        <w:rPr>
          <w:b/>
        </w:rPr>
        <w:t>E. 15</w:t>
      </w:r>
    </w:p>
    <w:p>
      <w:r>
        <w:t>Dans sa réponse du 19 juillet 2016, l’OAI a conclu au rejet du recours. Il rappelle que selon le complément d’expertise du Dr C_______ du 3 juin 2015, « les bilans radiologiques de 2011 et 2015 ne font pas la preuve d’une évolution actuellement significative vers une arthrose » et « la preuve d’une arthrose précoce ou d’une aggravation significative des troubles statiques vertébraux antérieurs n’étant pas démontrée au présent bilan ». Dans son expertise du 22 août 2011, l’expert retenait déjà « le diagnostic de status après distorsion cervicale de degré IV selon le Québec Task Force, surchargée actuellement de douleurs en partie subjective et de troubles sensitivo-moteurs facio-brachio-crurax gauches sans substrat somatique objectivable ».</w:t>
      </w:r>
    </w:p>
    <w:p>
      <w:r>
        <w:rPr>
          <w:b/>
        </w:rPr>
        <w:t>E. 16</w:t>
      </w:r>
    </w:p>
    <w:p>
      <w:r>
        <w:t>Dans sa réplique du 18 août 2016, l’assurée a souligné que, contrairement aux deux spécialistes, le médecin traitant qui la suit régulièrement a pu observer le long processus de la dégradation de son état de santé. Il est ainsi en mesure d’affirmer qu’elle a développé une arthrose au fil du temps, laquelle génère des douleurs importantes. Les docteurs G_______ et H_______ de la Clinique de la Colline ont procédé à une IRM de la colonne cervicale le 23 février 2015 et ont constaté ce qui suit : « Séquelles de tassement de la vertèbre C7 sans recul du mur postérieur avec petite perte de hauteur du cor vertébral. Pas de tassement vertébral ou de fracture cervicale d’allure récente. Uncarthrose pluri-étagée de C5/C6 à C7/T1 associant des débords disco-ostéophytiques restant modérés s’étendant un peu plus au foramen gauche notamment en C7/T1, sans conflit décelable. Discopathie T1/T2 avec protrusion pré-foraminale gauche sans conflit individualisable ».</w:t>
      </w:r>
    </w:p>
    <w:p>
      <w:r>
        <w:t>A/2158/2016 - 6/15 - L’assurée considère dès lors que l’avis du Dr C_______ du 3 juin 2015 est lacunaire et surtout contradictoire, et que « l’OAI ne peut pas faire abstraction des certificats du médecin traitant qui examine régulièrement la recourante, ni des constatations radiographiques des médecins de la Clinique de la Colline et ainsi se retrancher derrière les avis des deux spécialistes, les docteurs D_______ et C_______ qui ont statué uniquement sur dossier ». Aussi persiste-t-elle dans ses conclusions.</w:t>
      </w:r>
    </w:p>
    <w:p>
      <w:r>
        <w:rPr>
          <w:b/>
        </w:rPr>
        <w:t>E. 17</w:t>
      </w:r>
    </w:p>
    <w:p>
      <w:r>
        <w:t>Dans sa duplique du 9 septembre 2016, l’OAI a confirmé la décision litigieuse, considérant qu’il n’y avait pas de motif de s’écarter des conclusions du Dr C_______.</w:t>
      </w:r>
    </w:p>
    <w:p>
      <w:r>
        <w:rPr>
          <w:b/>
        </w:rPr>
        <w:t>E. 18</w:t>
      </w:r>
    </w:p>
    <w:p>
      <w:r>
        <w:t>Ces écritures ont été transmises à l’assurée et la cause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LPGA, entrée en vigueur le 1er janvier 2003, est applicable. 3. Interjeté dans les forme et délai prévus par la loi (art. 56ss LPGA), le présent recours est recevable. 4. Le litige porte sur le droit de l’assurée à des prestations AI, plus particulièrement à des mesures de réadaptation. 5. Quand l'administration entre en matière sur une nouvelle demande [art. 87 al. 3 du règlement du 17 janvier 1961 sur l’assurance-invalidité du 17 janvier 1961 (RAI - RS 831.201)],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130 V 71) pour apprécier si dans l'intervalle est intervenue une modification sensible du degré d'invalidité justifiant désormais l'octroi d'une rente.</w:t>
      </w:r>
    </w:p>
    <w:p>
      <w:r>
        <w:t>A/2158/2016 - 7/15 -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7.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w:t>
      </w:r>
    </w:p>
    <w:p>
      <w:r>
        <w:t>A/2158/2016 - 8/15 -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137 V 334 consid. 3.2; ATF 130 V 393 consid. 3.3 et ATF 125 V 146 consid. 2c ainsi que les références). 8. En l’espèce, l’OAI a dans un premier temps retenu pour l’assurée un statut de ménagère. Au vu de l’enquête économique sur le ménage réalisée le 25 avril 2016, et plus particulièrement des déclarations de l’assurée selon lesquelles en bonne santé, elle aurait travaillé à mi-temps dans le domaine de la vente, il a toutefois conclu à un statut mixte (50%-50%). L’assurée en a pris note et ne le conteste pas. 9.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A/2158/2016 - 9/15 -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Conformément au principe inquisitoire qui régit la procédure dans le domaine des assurances sociales, les autorités administratives et les juges des assurances sociales</w:t>
      </w:r>
    </w:p>
    <w:p>
      <w:r>
        <w:t>A/2158/2016 - 10/15 -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U.58/01 du</w:t>
      </w:r>
    </w:p>
    <w:p>
      <w:r>
        <w:rPr>
          <w:b/>
        </w:rPr>
        <w:t>E. 21</w:t>
      </w:r>
    </w:p>
    <w:p>
      <w:r>
        <w:t>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12. En l’espèce, il convient d’examiner si l’état de santé de l’assurée a subi, depuis le</w:t>
      </w:r>
    </w:p>
    <w:p>
      <w:r>
        <w:rPr>
          <w:b/>
        </w:rPr>
        <w:t>E. 26</w:t>
      </w:r>
    </w:p>
    <w:p>
      <w:r>
        <w:t>septembre 2011, un changement important propre à influencer son degré d’invalidité, et donc son droit à des prestations. 13. Lors de sa première décision du 26 septembre 2011, refusant à l’assurée toute prestation, l’OAI s’est fondé sur les deux expertises du Dr C_______, selon lesquelles elle était capable de travailler dans une activité légère, ne nécessitant pas le port de charges régulier de plus de 10 kg, autorisant des changements de positions fréquents de la nuque et de l’ensemble du corps (assis/debout), et en a conclu que les activités d’aide en pharmacie ou de vendeuse étaient adaptées à ces limitations fonctionnelles, mais pas celle d’aide-soignante. 14. Suite à la nouvelle demande de prestations déposée le 11 septembre 2015, l’OAI a retenu, dans sa décision querellée du 18 mai 2016, que la capacité de travail de l’assurée restait entière dans une activité légère, ne nécessitant pas de port de charges régulier de plus de 10 kg, autorisant des changements de positions</w:t>
      </w:r>
    </w:p>
    <w:p>
      <w:r>
        <w:t>A/2158/2016 - 11/15 - fréquents de la nuque et de l’ensemble du corps depuis toujours. Il s’est référé au rapport du Dr D_______ du 6 octobre 2015, lequel a précisé qu’on pouvait s’attendre à une reprise de l’activité professionnelle à plein temps à partir du mois de mars 2015. 15. Lorsque l’assurée a contesté le projet de décision du 23 novembre 2015 rejetant sa demande de prestations, elle a reproché à l’OAI d’avoir tenu compte du rapport du Dr D_______ du 6 octobre 2015, alors que ce médecin l’avait examinée en mars 2015, et indique que des rapports plus récents ont été établis, soit le 3 juin 2015, par le Dr C_______, et le 15 décembre 2015 par la Dresse E_______. Dans sa réplique du 18 août 2016, elle fait état d’une IRM réalisée le 23 février 2015 et commentée par les Drs G_______ et H_______, et considère que l’avis du Dr C_______ est lacunaire et contradictoire. 16. Il y a lieu de constater que dans sa nouvelle demande de prestations AI, l’assurée fait valoir une aggravation de son état de santé due à l’accident dont elle a été victime le 17 février 2015. Aussi le rapport du Dr C_______ du 3 juin 2015 tient-il compte des conséquences de cet accident. Son courrier remplit les réquisits jurisprudentiels pour être considéré comme ayant valeur probante, étant rappelé qu’il fait suite à ses deux premiers rapports d’expertise établis les 13 avril 2010 et 22 août 2011. À la demande de l’assureur perte de gain, il a procédé à la comparaison des examens radiologiques réalisés entre 2011 et 2015. Ses conclusions sont claires, bien motivées et convaincantes. Il a constaté que l’IRM de la colonne cervicale datée du 23 février 2015 était globalement superposable à celle de 2011, n’apportant ainsi pas la preuve d’une aggravation significative des troubles statiques vertébraux post-traumatiques. Il a considéré que rien ne permettait de conclure à une évolution significative vers une arthrose cervicale. Le Dr D_______ a quant à lui constaté que l’entorse cervicale post-traumatique subie le 17 février 2015 ne devait pas empêcher l’assurée de reprendre son activité professionnelle à plein temps dès mars 2015. 17. Reste à déterminer si les rapports de la Dresse I_______ et les commentaires des Drs G_______ et H_______ sur la base d’une IRM du 23 février 2015 permettraient de remettre en question les conclusions des Drs C_______ et D_______. 18. Dans son rapport du 15 décembre 2015, la Dresse E_______ retient les mêmes diagnostics que le Dr C_______, mais fixe l’incapacité de travail de l’assurée à 100%. Ainsi que le relève le médecin du SMR, elle n’apporte pas d’élément nouveau justifiant de considérer que l’assurée souffre d’une aggravation de son état de santé. Seule l’appréciation du taux de la capacité de travail diffère. Il y a à cet égard lieu de rappeler qu’en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w:t>
      </w:r>
    </w:p>
    <w:p>
      <w:r>
        <w:t>A/2158/2016 - 12/15 - 3b/cc). Au surplus, la Dresse E_______ ne fait en réalité pas état d’une aggravation, puisqu’elle fixe l’incapacité de travail de l’assurée à 100% depuis 2007 déjà. Il n’a pas non plus été constaté dans l’IRM du 23 février 2015 d’atteinte nouvelle ou aggravation qui permettrait de s’écarter des conclusions du Dr C_______. En conséquence, il y a lieu de considérer que l’avis divergent de la Dresse E_______ n’est pas de nature à mettre sérieusement en doute les conclusions des Drs C_______ et D_______, de sorte qu’il convient de retenir que l’assurée présente une capacité de travail de 100% dans une activité adaptée à ses limitations fonctionnelles, étant précisé que les activités d’aide en pharmacie ou de vendeuse constituent en l’occurrence des activités adaptées. 19. L’assurée a conclu à ce qu’une nouvelle expertise soit ordonnée.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w:t>
      </w:r>
    </w:p>
    <w:p>
      <w:r>
        <w:rPr>
          <w:b/>
        </w:rPr>
        <w:t>E. 28</w:t>
      </w:r>
    </w:p>
    <w:p>
      <w:r>
        <w:t>consid. 4b), la jurisprudence rendue sous l’empire de l’art. 4 aCst. étant toujours valable (ATF 124 V 94 consid. 4b ; 122 V 162 consid. 1d). En l’espèce, l’appréciation du Dr C_______ qui répond aux réquisits jurisprudentiels et, partant, se voit attribuer une pleine valeur probante, suffit à la chambre de céans pour se prononcer. Il n’y a pas de motif de mettre en œuvre une instruction complémentaire. Selon l’assurée pourtant, le Dr C_______ avait expressément réservé la nécessité d’une nouvelle expertise. Or, ce médecin a en réalité déclaré « je pense qu’une éventuelle expertise médicale complémentaire se justifierait au cas où il existerait des éléments cliniques déterminants dans le sens d’une aggravation des plaintes. Dans le cas contraire, je ne pense pas que cet examen se justifie ». 20. Reste à déterminer le degré d’invalidité. En vertu de l’art. 28 al. 2 LAI, l’assuré a droit à une rente entière s’il est invalide à 70% au moins, à un trois-quarts de rente s'il est invalide à 60% au moins, à une demi-rente s’il est invalide à 50% au moins, ou à un quart de rente s’il est invalide à 40% au moins. 21. Pour évaluer le degré d'invalidité, il existe principalement trois méthodes : la méthode générale de comparaison des revenus, la méthode spécifique et la méthode mixte. Leur application dépend du statut du bénéficiaire potentiel de la rente: assuré exerçant une activité lucrative à temps complet, assuré non actif, assuré exerçant une activité lucrative à temps partiel (arrêt du Tribunal fédéral 9C_514/2014 du 23 décembre 2014 consid. 4).</w:t>
      </w:r>
    </w:p>
    <w:p>
      <w:r>
        <w:t>A/2158/2016 - 13/15 - a) Chez les assurés qui exerçaient une activité lucrative à plein temps avant d'être atteints dans leur santé physique, mentale ou psychique, il s’agit d’appliquer la méthode générale de comparaison des revenus (art. 28a al. 1 LAI en corrélation avec l'art. 16 LPGA) et ses sous-variantes, la méthode de comparaison en pour-cent (ATF 114 V 310 consid. 3a) et la méthode extraordinaire de comparaison des revenus (ATF 128 V 29 consid. 4). S’agissant de la méthode générale de comparaison des revenus,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b)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L’art. 27 du règlement sur l'assurance- invalidité (RAI - RS 831.201) dispose que par travaux habituels, il faut notamment entendre l'activité usuelle dans le ménage, l'éducation des enfants ainsi que toute activité artistique ou d'utilité publique (ATF 137 V 334 consid. 3.1.2). Selon la pratique administrative ressortant des chiffres 3086ss de la Circulaire sur l’invalidité et l’impotence dans l’assurance-invalidité, dans sa version dès le 1er janvier 2015 (CIIAI), les travaux d’une personne non invalide qui s’occupe du ménage constituent les pourcentages suivants de son activité: tenue du ménage (planification, organisation, répartition du travail, contrôle) : entre 2% et 5% ; alimentation (préparation, cuisson, service du repas, nettoyage de la cuisine, provisions) : entre 10% et 50% ; entretien du logement (épousseter, passer l’aspirateur, entretenir les sols, nettoyer les vitres, faire les lits) : entre 5% et 20% ; achats et courses diverses (poste, assurances, services officiels) : entre 5% et 10% ; lessive et entretien des vêtements (laver, étendre et plier le linge, repasser, raccommoder, nettoyer les chaussures) : entre 5% et 20% ; soins aux enfants ou aux autres membres de la famille: entre 0% et 30% ; divers (par exemple soins infirmiers, entretien des plantes et du jardin, garde des animaux domestiques, confection et transformation de vêtements; activité d’utilité publique, formation complémentaire, création artistique) à l’exclusion des occupations purement de loisirs: entre 0% et 50%. La part en pour-cent de l'activité ménagère accordée à chacun des postes en fonction de l'échelonnement prévu par la CIIAI relève du pouvoir d'appréciation, qui dépend d'une évaluation des circonstances concrètes de</w:t>
      </w:r>
    </w:p>
    <w:p>
      <w:r>
        <w:t>A/2158/2016 - 14/15 - la situation en cause et n'est soumis à l'examen du juge de dernière instance que sous l'angle de l'excès ou de l'abus du pouvoir d'appréciation. En revanche, la constatation d'un empêchement pour les différents postes est une question de fait (arrêt du Tribunal fédéral 9C_19/2012 du 4 octobre 2012 consid. 5.1). c)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en corrélation avec l'art. 27bis RAI ; arrêt du Tribunal fédéral 9C_36/2013 du 21 juin 2013 consid. 4.1.3). 22. Compte tenu du fait que la capacité de travail de l’assurée est exploitable dans son activité habituelle, en tant qu’aide en pharmacie ou vendeuse, le degré d’invalidité se confond avec l’incapacité de travail. Aussi le degré d’invalidité s’agissant de la part consacrée à l’activité lucrative est-il nul. La chambre de céans relève que l’assurée ne conteste pas le taux d’empêchements auquel a conclu l’enquête ménagère, mais qu’il est quoi qu’il en soit inutile d’en tenir compte pour le calcul du degré d’invalidité de l’assurée en sa qualité de ménagère mixte, au vu du degré d’invalidité nul pour l’activité lucrative. Aussi la décision du 18 mai 2016 ne peut-elle être que confirmée et le recours rejeté.</w:t>
      </w:r>
    </w:p>
    <w:p>
      <w:r>
        <w:t>A/2158/2016 - 15/15 -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