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ATAS/1040/2024 vom 19. Dezember 2024</w:t>
      </w:r>
    </w:p>
    <w:p>
      <w:r>
        <w:t>GE Cour de justice, 2024-12-19, FR</w:t>
      </w:r>
    </w:p>
    <w:p>
      <w:r>
        <w:rPr>
          <w:b/>
        </w:rPr>
        <w:t xml:space="preserve">Quelle: </w:t>
      </w:r>
      <w:r>
        <w:t>https://mcp.opencaselaw.ch/entscheid/ge_gerichte_ATAS_1040_2024</w:t>
      </w:r>
    </w:p>
    <w:p>
      <w:r>
        <w:t>FR: GE_GERICHTE ATAS/1040/2024 du 19 décembre 2024</w:t>
      </w:r>
    </w:p>
    <w:p>
      <w:r>
        <w:t>IT: GE_GERICHTE ATAS/1040/2024 del 19 dicembre 2024</w:t>
      </w:r>
    </w:p>
    <w:p>
      <w:pPr>
        <w:pStyle w:val="Heading2"/>
      </w:pPr>
      <w:r>
        <w:t>Erwägungen</w:t>
      </w:r>
    </w:p>
    <w:p>
      <w:r>
        <w:rPr>
          <w:b/>
        </w:rPr>
        <w:t>E. 28</w:t>
      </w:r>
    </w:p>
    <w:p>
      <w:r>
        <w:t>novembre 2024, la recourante a informé la chambre de céans qu’elle maintenait ses conclusions. s. Sur ce, la cause a été gardée à juger, ce dont les parties ont été informées. t. Les autres faits et documents seront mentionnés, en tant que de besoin, dans la partie « En droit » du présent arrêt.</w:t>
      </w:r>
    </w:p>
    <w:p>
      <w:r>
        <w:t>A/829/2022 - 11/19 - EN DROIT</w:t>
      </w:r>
    </w:p>
    <w:p>
      <w:r>
        <w:t>1.</w:t>
      </w:r>
    </w:p>
    <w:p>
      <w:r>
        <w:t>1.1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Le recours, interjeté dans les forme et délai prévus par la loi (art. 56ss LPGA), est recevable. 2. Le litige porte sur le droit aux prestations pour accident, dès le 1er avril 2021. 3.</w:t>
      </w:r>
    </w:p>
    <w:p>
      <w:r>
        <w:t>3.1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Les prestations que l’assureur-accidents doit, le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IPAI si l’assuré souffre par suite de l’accident d'une atteinte importante et durable à son intégrité physique, mentale ou psychique (art. 24 al. 1 LAA).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 Le droit au traitement médical et aux indemnités journalières cesse dès la naissance du droit à la rente (art. 19 al. 1 2e phr. LAA). À teneur de l’art. 19 al. 1 1re phr. LAA, le droit à la rente prend naissance dès qu’il n’y a plus lieu d’attendre de la continuation du traitement médical une sensible amélioration de l’état de l’assuré et que les éventuelles mesures de réadaptation de l’assurance-</w:t>
      </w:r>
    </w:p>
    <w:p>
      <w:r>
        <w:t>A/829/2022 - 12/19 - invalidité ont été menées à terme. La loi ne précise pas ce qu'il faut entendre par « une sensible amélioration de l'état de l'assuré ». Eu égard au fait que l'assurance- 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Des avancées mineures ne suffisent pas (arrêt du Tribunal fédéral 8C_685/2019 du 9 juin 2020 consid. 4). En matière de physiothérapie, le Tribunal fédéral a précisé que le bénéfice que peut amener la physiothérapie ne fait pas obstacle à la clôture du cas (arrêt du Tribunal fédéral 8C_39/2018 du 11 juillet 2018 et les références) 3.2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(arrêt du Tribunal fédéral 8C_482/2014 du 6 mai 2015 consid. 3). 4.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4.1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w:t>
      </w:r>
    </w:p>
    <w:p>
      <w:r>
        <w:t>A/829/2022 - 13/19 - exprimées, qu'il ait été établi en pleine connaissance du dossier (anamnèse), que la description des interférences médicales soit claire et enfin que les conclusions de l'expert soient bien motivées (ATF 125 V 351 consid. 3a, 122 V 157 consid. 1c). 4.2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4.3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4.4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4.5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A/829/2022 - 14/19 -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6. En l’espèce, la SUVA s’est fondée sur l’avis de son médecin d’arrondissement, le Dr F______, pour mettre un terme au versement des indemnités journalières et au remboursement des soins médicaux au 31 mars 2021. La chambre de céans a considéré que les appréciations du Dr F______ étaient insuffisamment motivées et a mandaté un expert orthopédiste, soit le Dr J______. L’assurée ne remet pas expressément en question la valeur probante de l’expertise judiciaire mais déclare que l’expert serait tombé « dans le même travers que l’autorité intimée » en refusant d’accorder le moindre crédit aux appréciations de ses médecins traitants, plus particulièrement son médecin généraliste, le Dr G______. L’intimée, de son côté, considère que les appréciations de l’expert rejoignent celles de son médecin d’arrondissement et conclut que la recourante présente une capacité de travail totale dans une activité adaptée. Il sied d’examiner la valeur probante du rapport d’expertise. 6.1 Le rapport de l’expert correspond en tous points aux exigences en la matière. Il a été établi en parfaite connaissance du dossier médical, dont les rapports médicaux sont exposés et résumés sur plusieurs pages. Il contient, en outre, une anamnèse personnelle, familiale, médicale et professionnelle complète et l’expert a rapporté ses observations cliniques de manière détaillée, à la suite d’un examen clinique ayant duré deux heures et demie. Les diagnostics retenus sont</w:t>
      </w:r>
    </w:p>
    <w:p>
      <w:r>
        <w:t>A/829/2022 - 15/19 - soigneusement motivés, et l’expertisée a pu décrire son travail, une journée-type et s’exprimer sur ses plaintes et les troubles de la santé qu’elle ressent. L’expert a, de surcroît, exposé de manière convaincante pour quelles raisons il se ralliait aux avis des autres intervenants ou au contraire s’en écartait. Ses conclusions sont elles aussi claires et motivées. En p. 35 de son rapport d’expertise, le Dr J______ a tenu à mettre en exergue certains éléments, notamment l’impossibilité de préciser le mécanisme traumatique en raison de la version inconstante de l’expertisée, des contradictions, tel que cela ressort de rapports médicaux antérieurs, et enfin des ambiguïtés dans les rapports médicaux des HUG des 20 décembre 2019 et 7 mai 2020. Lors de l’examen clinique, l’expert n’a relevé aucun trouble significatif au niveau des épaules, avec une mobilité active conservée et des amplitudes articulaires identiques en élévation et en abduction à droite et à gauche ainsi qu’en rotation externe, la seule différence entre l’articulation droite et gauche étant objectivée en rotation interne. L’articulation acromioclaviculaire bilatérale est considérée comme non douloureuse à la palpation et mobilisation et la coiffe des rotateurs est compétente en bilatérale. Les coudes et les poignets montrent une mobilité active normale avec les amplitudes articulaires et enfin les mains ont une force conservée, y compris dans la main gauche. Lors de l’examen, l’expert a demandé à l’assurée d’écrire de sa main gauche dominante une phrase en espagnol ; cette dernière s’est exécutée sans aucune gêne ni hésitation, ce qui est interprété comme une preuve d’une bonne évolution de son état. Les diagnostics de 2018 jusqu’à 2021 ont été résumés et, en ce qui concerne les troubles orthopédiques, le médecin a clairement mentionné qu’il n’existait plus, à l’heure actuelle, de trouble orthopédique objectivement fondé, relevant notamment que les plaintes de l’assurée concernant le membre supérieur gauche et la nuque ne correspondaient à aucune anomalie ou pathologie active (rapport, p. 37). En conclusion, l’expert a considéré que l’assurée pouvait reprendre son activité de femme de ménage, sans diminution du rendement et sans limitation fonctionnelle, tout en ajoutant qu’une activité adaptée de surveillante était également possible avec une capacité de travail complète. Il a ajouté que, sur le plan médical, une réadaptation professionnelle n’était plus nécessaire. La SUVA a constaté que l’expertise remplissait manifestement tous les réquisits relatifs à la valeur probante d’un tel document et confirmé la stabilisation sur le plan médical et l’exigibilité définie par le Dr F______. Au vu de ces éléments, la SUVA concluait à la réforme de la décision sur opposition du 10 février 2022 en ce sens que le droit à une rente et à une IPAI était nié. 6.2 S’agissant de la recourante, elle s’est fondée pratiquement exclusivement sur l’appréciation de son médecin généraliste, le Dr G______, pour contester être en</w:t>
      </w:r>
    </w:p>
    <w:p>
      <w:r>
        <w:t>A/829/2022 - 16/19 - mesure de retrouver une activité professionnelle lucrative. Ce dernier a rédigé une attestation datée du 14 octobre 2024, dans laquelle il déclare que « malgré les conclusions théoriques de la récente expertise, je constate à la lumière de l’échec de tentative de reprise de l’activité professionnelle de février 2022 qu’il existe un écart important entre cet avis d’expert et la réalité ». Il a ainsi contesté la possibilité d’une reprise dans l’activité habituelle qui impliquerait le levage de poids et la manipulation de machines de nettoyage, ce qui semblait se solder par une réactivation des douleurs au membre supérieur gauche, « dont l’étiologie reste peu claire ». S’agissant d’une activité adaptée, il a mentionné l’absence de formation professionnelle qualifiée, le maniement limité des capacités linguistiques en français, la présence de mouvements dépressifs déjà antérieurs à l’accident, renforcée par un sentiment d’injustice et de victimisation, une situation sociale et familiale compliquée, le refus d’entrée en matière des assurances sociales consécutivement à un accident vécu comme une injustice qui, selon lui, était un obstacle concomitant à la reprise d’une activité lucrative régulière. S’agissant des remarques du médecin traitant concernant une activité adaptée, elles sont principalement d’ordre socioprofessionnel et ne se fondent pas sur des éléments médicaux objectifs, ce d’autant moins que le médecin traitant relève, lui- même, l’étiologie « peu claire » concernant les douleurs au membre supérieur gauche dont se plaint la recourante. Il faut rappeler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l’état, il n’existe aucune contradiction pouvant faire douter la chambre de céans des conclusions de l’expert. Étant encore précisé que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À l’aune de ce qui précède, la chambre de céans considère que le rapport d’expertise du Dr J______ présente une pleine valeur probante et que ses conclusions peuvent être suivies. 6.3 En ce qui concerne l’annulation de l’IPAI proposée par la SUVA, il sied de rappeler que dans le cadre de l’art. 53 al. 3 LPGA, l’autorité intimée peut revoir librement sa décision, sans être liée par les conditions restrictives de la reconsidération d’une décision entrée en force (cf. art. 53 al. 2 LPGA). Toutefois,</w:t>
      </w:r>
    </w:p>
    <w:p>
      <w:r>
        <w:t>A/829/2022 - 17/19 - la décision prise pendente lite ne met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127 V 228 2b/bb ; arrêt du Tribunal fédéral I 115/06 du 15 juin 2007 consid. 2.1). En ce sens, la nouvelle détermination de la SUVA, prise dans ses observations après expertise, ne met pas fin au litige, dès lors qu’elle ne donne pas droit aux conclusions du recourant, et n’a valeur que de proposition au juge. Dans un arrêt du 23 janvier 2023 (1C_97/2022) le Tribunal fédéral a rappelé que l’art. 67 al. 2 de la loi sur la procédure administrative du 12 septembre 1985 (LPA - E 5 10) prévoit qu’en cas de dépôt d’un recours, l’autorité de première instance peut, en cours de procédure, reconsidérer ou retirer sa décision. Cette disposition n’interdit pas une reconsidération en défaveur de l’administré recourant (consid. 2.2.1) – étant précisé qu’une telle reformatio in pejus peut être autorisée ou interdite par le droit fédéral ou cantonal, vu qu’il ne s’agit pas d’un principe garanti par le protocole n. 7 de la Convention de sauvegarde des droits de l’homme et des libertés fondamentales du 4 novembre 1950 (CEDH - RS 0.101), le pacte ONU II ou l’art. 32 al. 3 de la Constitution fédérale de la Confédération suisse du 18 avril 1999 (Cst. - RS 101) (consid. 2.1.1). Or, à teneur de l’art. 69 al. 2 LPA a contrario, les autorités judiciaires ne peuvent pas rendre une décision constitutive d’une reformatio in pejus (Stéphane GRODECKI et Romain JORDAN, Code annoté de procédure administrative genevoise, LPA/GE et lois spéciales, 2017, n° 885, p. 235). Ce principe a été plusieurs fois confirmé par la chambre administrative de la Cour de justice, notamment dans un arrêt du 2 juin 2015 (ATA/567/2015 consid. 6 et les arrêts cités). Partant, la chambre de céans ne donnera pas suite aux nouvelles conclusions de la SUVA tendant à ce que l’IPAI soit niée, dès lors qu’elle est tenue par le principe de l’interdiction de la reformatio in pejus. 6.4 S’agissant de la demande d’audition du médecin traitant, le Dr G______, elle est d’autant moins nécessaire que ce dernier a pu largement s’exprimer, notamment dans le cadre de son attestation du 14 octobre 2024 faisant suite au rapport d’expertise, étant rappelé, de surcroît, qu’il a les mêmes interrogations que l’expert quant à l’étiologie des douleurs à l’épaule gauche et que ses appréciations divergent essentiellement sur des éléments socioprofessionnels, soit l’existence d’une activité adaptée et non pas sur des éléments médicaux. Par appréciation anticipée des preuves, la demande d’audition du Dr G______ est considérée comme superflue et sera donc écartée (appréciation anticipée des preuves ; ATF 122 II 464 consid. 4a ; 122 III 219 consid. 3c).</w:t>
      </w:r>
    </w:p>
    <w:p>
      <w:r>
        <w:t>A/829/2022 - 18/19 - 6.5 Reste à examiner la question des coûts de l'expertise qui peuvent être mis à la charge de l'assureur social (ATF 137 V 210 consid. 4.4.2).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(137 V 210 consid. 4.4.2). Au vu du résultat de l’expertise, qui confirme les appréciations du médecin d’arrondissement de la SUVA, on ne peut retenir que l'autorité administrative a diligenté une instruction présentant des lacunes ou des insuffisances caractérisées. Par conséquent, les frais d’expertise seront laissés à la charge de l’État. 7.</w:t>
      </w:r>
    </w:p>
    <w:p>
      <w:r>
        <w:t>7.1 Mal fondé, le recours est rejeté. 7.2 Pour le surplus, la procédure est gratuite.</w:t>
      </w:r>
    </w:p>
    <w:p>
      <w:r>
        <w:t>A/829/2022 - 19/19 -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