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ATAS/1040/2016 vom 13. Dezember 2016</w:t>
      </w:r>
    </w:p>
    <w:p>
      <w:r>
        <w:t>GE Cour de justice, 2016-12-13, FR</w:t>
      </w:r>
    </w:p>
    <w:p>
      <w:r>
        <w:rPr>
          <w:b/>
        </w:rPr>
        <w:t xml:space="preserve">Quelle: </w:t>
      </w:r>
      <w:r>
        <w:t>https://mcp.opencaselaw.ch/entscheid/ge_gerichte_ATAS_1040_2016</w:t>
      </w:r>
    </w:p>
    <w:p>
      <w:r>
        <w:t>FR: GE_GERICHTE ATAS/1040/2016 du 13 décembre 2016</w:t>
      </w:r>
    </w:p>
    <w:p>
      <w:r>
        <w:t>IT: GE_GERICHTE ATAS/1040/2016 del 13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Les modifications de la loi fédérale sur l'assurance-invalidité du 18 mars 2011 (révision 6a), entrées en vigueur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5</w:t>
      </w:r>
    </w:p>
    <w:p>
      <w:r>
        <w:t>En l’espèce, les faits déterminants remontent à 2013, et la décision querellée du 19 avril 2016 est postérieure à l’entrée en vigueur des modifications de la LAI suscitées. Par conséquent, du point de vue matériel, le droit éventuel aux prestations d’invalidité doit donc être examiné au regard des modifications de la révision 6a de cette loi, dans la mesure de leur pertinence (ATF 130 V 445 et les références; voir également ATF 130 V 329). Cela étant, la révision précitée n'a pas amené de modifications substantielles sur les sujets pertinents dans la présente affaire, en particulier sur la notion d'invalidité et le cas échéant la manière d'évaluer l'invalidité (arrêt du Tribunal fédéral I.249/05 du 11 juillet 2006 consid. 2.1 et Message concernant la modification de la loi fédérale sur l'assurance-invalidité du 22 juin 2005, FF 2005 p. 4322).</w:t>
      </w:r>
    </w:p>
    <w:p>
      <w:r>
        <w:t>A/1676/2016 - 6/13 -</w:t>
      </w:r>
    </w:p>
    <w:p>
      <w:r>
        <w:rPr>
          <w:b/>
        </w:rPr>
        <w:t>E. 6</w:t>
      </w:r>
    </w:p>
    <w:p>
      <w:r>
        <w:t>Le délai de recours est de 30 jours. Interjeté dans les forme et délai prévus par la loi, le présent recours est recevable (art. 56ss LPGA).</w:t>
      </w:r>
    </w:p>
    <w:p>
      <w:r>
        <w:rPr>
          <w:b/>
        </w:rPr>
        <w:t>E. 7</w:t>
      </w:r>
    </w:p>
    <w:p>
      <w:r>
        <w:t>Le litige porte sur le droit de l’assurée à des prestations de l’AI.</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w:t>
      </w:r>
    </w:p>
    <w:p>
      <w:r>
        <w:t>A/1676/2016 - 7/13 - reconnaissance d'une invalidité (cf. art. 7 et 8 LPGA) - et non de facteurs psychosociaux ou socioculturels totalement étrangers à l'invalidité (cf. arrêt du Tribunal fédéral 9C_286/2015, op. cit,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 arrêt du Tribunal fédéral I.654/00 du 9 avril 2001 consid. 1).</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11</w:t>
      </w:r>
    </w:p>
    <w:p>
      <w:r>
        <w:t>D’après la jurisprudence, l'obésité n'est en soi pas constitutive d'invalidité, sauf si l'excédent de poids a provoqué une atteinte à la santé ou s'il est lui-même la conséquence d'un trouble de la santé et qu'ainsi, la capacité de gain est sensiblement</w:t>
      </w:r>
    </w:p>
    <w:p>
      <w:r>
        <w:t>A/1676/2016 - 8/13 - réduite et ne peut être augmentée de façon importante par des mesures raisonnablement exigibles (arrêt du Tribunal fédéral 9C_48/2009 du 1er octobre 2009 consid. 2.3; RCC 1984 p. 359 consid. 3).</w:t>
      </w:r>
    </w:p>
    <w:p>
      <w:r>
        <w:rPr>
          <w:b/>
        </w:rPr>
        <w:t>E. 12</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w:t>
      </w:r>
    </w:p>
    <w:p>
      <w:r>
        <w:rPr>
          <w:b/>
        </w:rPr>
        <w:t>E. 13</w:t>
      </w:r>
    </w:p>
    <w:p>
      <w:r>
        <w:t>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 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104 V 136 consid. 2a).</w:t>
      </w:r>
    </w:p>
    <w:p>
      <w:r>
        <w:rPr>
          <w:b/>
        </w:rPr>
        <w:t>E. 14</w:t>
      </w:r>
    </w:p>
    <w:p>
      <w:r>
        <w:t>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t>A/1676/2016 - 9/13 -</w:t>
      </w:r>
    </w:p>
    <w:p>
      <w:r>
        <w:rPr>
          <w:b/>
        </w:rPr>
        <w:t>E. 15</w:t>
      </w:r>
    </w:p>
    <w:p>
      <w:r>
        <w:t>En l’espèce, il n’est pas contesté et n’apparaît pas contestable qu’à défaut d’atteinte à la santé, l’assurée exercerait l’activité de femme de ménage à 80% (cf. questionnaire de l’Hospice général du 12 novembre 2014, attestation de l’employeur du 19 mars 2012, et courrier de l’OCE du 12 mars 2015) et s’occuperait pour le surplus, soit à 20%, de ses tâches ménagères. Elle a donc un statut mixte.</w:t>
      </w:r>
    </w:p>
    <w:p>
      <w:r>
        <w:rPr>
          <w:b/>
        </w:rPr>
        <w:t>E. 16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A/1676/2016 - 10/13 -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w:t>
      </w:r>
    </w:p>
    <w:p>
      <w:r>
        <w:t>A/1676/2016 - 11/13 -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et notamment lorsqu’une expertise est nécessaire en raison du fait que l’administration n’a pas du tout instruit un point médical (ATF 137 V 210 consid. 4.4.1.4).</w:t>
      </w:r>
    </w:p>
    <w:p>
      <w:r>
        <w:rPr>
          <w:b/>
        </w:rPr>
        <w:t>E. 19</w:t>
      </w:r>
    </w:p>
    <w:p>
      <w:r>
        <w:t>a. En l’occurrence, l’OAI a nié le droit de l’assurée à une rente d’invalidité s’appuyant sur l’avis du SMR du 13 avril 2016. Selon celui-ci, l’assurée présente une capacité de travail nulle dans son activité habituelle d’employée de maison/nettoyeuse, mais une capacité de travail de 50% dans une activité adaptée. Ce faisant, le SMR s’est basé sur les rapports du médecin traitant des 28 octobre 2014 et 6 février 2016, aux termes desquels l’assurée souffre d’une obésité morbide (depuis 2010), d’asthme chronique sévère (depuis 1992), - dont le traitement par de la cortisone a provoqué son obésité -, et de vertiges permanents. La capacité de travail de l’assurée est estimée à 50% par le médecin traitant dans une activité adaptée en position assise uniquement, respectant les limitations fonctionnelles suivantes : éviter de se baisser, de monter sur un escabeau, de porter ou de soulever des charges excédant 5 kg. b. Dans un rapport du 26 août 2016, le médecin traitant ajoute, outre les diagnostics susmentionnés, un état dépressif dû notamment à un isolement social. Il invite l’OAI à mettre en œuvre une expertise afin d’évaluer la capacité de travail de l’assurée, et donc son invalidité. Il n’y a pas lieu d’écarter ledit rapport, bien qu’il ait été rendu postérieurement à la décision litigieuse du 19 avril 2016, dans la mesure où l’état dépressif diagnostiqué pour la première fois dans ce rapport est étroitement lié à un isolement social et partant à l’obésité morbide (IBM 44), fait déjà évoqué dans le cadre de la décision querellée.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I.321/04 du 18 juillet 2005 consid. 5). c. Il ressort de ce qui précède que le seul avis médical au dossier émane du médecin traitant. Il aurait toutefois été opportun de soumettre l’assurée, à un</w:t>
      </w:r>
    </w:p>
    <w:p>
      <w:r>
        <w:t>A/1676/2016 - 12/13 - examen médical circonstancié compte tenu de son état de santé dans son ensemble. L'OAI y a renoncé, alors que le SMR avait précisé dans son avis du 27 septembre 2016 que le Dr C_______ n’avait pas quantifié les effets des différentes comorbidités dans l’incapacité de travail, les éléments cliniques objectifs n’étaient pas apportés, le dossier médical ne contenait pas de bilan pneumologique permettant de juger de la capacité fonctionnelle pulmonaire, et enfin, les atteintes incapacitantes, les limitations fonctionnelles et leurs répercussions sur la capacité de travail, ainsi que les mesures thérapeutiques à mettre en place et le pronostic n’étaient pas clairement établis. Force est ainsi de constater que le dossier n’a pas été suffisamment instruit. d. En particulier, bien que l’obésité en tant que telle ne soit pas constitutive d’invalidité, dans le cas d’espèce, elle a été causée par la cortisone, ingurgitée pendant des années (depuis 2009) pour traiter les crises d’asthme sévère (rapport du Dr VETSH du 26 août 2016). L’obésité est donc la conséquence d’un trouble de la santé, et a également provoqué le diabète, l’hypertension artérielle, ainsi que l’état dépressif. Vu ces atteintes, auxquelles s’ajoutent les vertiges permanents, la chambre de céans se demande s’il existe suffisamment de postes adaptés aux limitations fonctionnelles présentées par l’assurée, pour qu'elle puisse mettre en œuvre sur le plan économique (et pratique) une capacité résiduelle de travail dans une mesure significative.</w:t>
      </w:r>
    </w:p>
    <w:p>
      <w:r>
        <w:rPr>
          <w:b/>
        </w:rPr>
        <w:t>E. 20</w:t>
      </w:r>
    </w:p>
    <w:p>
      <w:r>
        <w:t>Sur le vu de ce qui précède, il convient de renvoyer la cause à l’OAI pour qu’il ordonne une expertise bi-disciplinaire (médecine interne et psychiatrie). Un renvoi se justifie d’autant plus qu’une telle expertise n’a pas été réalisée par l’OAI alors même que le SMR avait fait état des lacunes du dossier (avis du 27 septembre 2016). Il incombera notamment aux experts de se prononcer sur tous les diagnostics et limitations fonctionnelles, l’influence des différentes atteintes sur la capacité de travail dans l’activité habituelle et dans une activité adaptée, de même que sur une éventuelle diminution de rendement. Sur la base des conclusions de l’expertise, il appartiendra ensuite à l’OAI de déterminer l’opportunité d’une enquête économique sur le ménage.</w:t>
      </w:r>
    </w:p>
    <w:p>
      <w:r>
        <w:rPr>
          <w:b/>
        </w:rPr>
        <w:t>E. 21</w:t>
      </w:r>
    </w:p>
    <w:p>
      <w:r>
        <w:t>Le présent recours sera donc admis partiellement, la décision attaquée annulée et la cause renvoyée à l’OAI pour instruction complémentaire et nouvelle décision dans le sens des considérants.</w:t>
      </w:r>
    </w:p>
    <w:p>
      <w:r>
        <w:rPr>
          <w:b/>
        </w:rPr>
        <w:t>E. 22</w:t>
      </w:r>
    </w:p>
    <w:p>
      <w:r>
        <w:t>Représentée par un mandataire, l’assurée, qui obtient partiellement gain de cause, a droit à une indemnité de CHF 1’800.- à titre de dépens (art. 61 let. g LPGA; art. 89H al. 3 LPA ; art. 6 du règlement sur les frais, émoluments et indemnités en matière administrative, du 30 juillet 1986 [RFPA – RS/GE E 5 10.03]). Étant donné que, depuis le 1er juillet 2006, la procédure de recours en matière de contestations portant sur l’octroi ou le refus de prestations de l’assurance-invalidité n'est plus gratuite (art. 69 al. 1bis LAI ; art. 89H al. 4 LPA), au vu du sort du recours, il y a lieu de condamner l'OAI au paiement d'un émolument de CHF 200.-.</w:t>
      </w:r>
    </w:p>
    <w:p>
      <w:r>
        <w:t>A/1676/2016 - 13/13 -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