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ATAS/1040/2013 vom 29. Oktober 2013</w:t>
      </w:r>
    </w:p>
    <w:p>
      <w:r>
        <w:t>GE Cour de justice, 2013-10-29, FR</w:t>
      </w:r>
    </w:p>
    <w:p>
      <w:r>
        <w:rPr>
          <w:b/>
        </w:rPr>
        <w:t xml:space="preserve">Quelle: </w:t>
      </w:r>
      <w:r>
        <w:t>https://mcp.opencaselaw.ch/entscheid/ge_gerichte_ATAS_1040_2013</w:t>
      </w:r>
    </w:p>
    <w:p>
      <w:r>
        <w:t>FR: GE_GERICHTE ATAS/1040/2013 du 29 octobre 2013</w:t>
      </w:r>
    </w:p>
    <w:p>
      <w:r>
        <w:t>IT: GE_GERICHTE ATAS/1040/2013 del 29 ottobre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 Au surplus, l'épouse de l'assuré représente valablement l'hoirie composée d'elle-même et des deux filles de feu l'assuré.</w:t>
      </w:r>
    </w:p>
    <w:p>
      <w:r>
        <w:rPr>
          <w:b/>
        </w:rPr>
        <w:t>E. 4</w:t>
      </w:r>
    </w:p>
    <w:p>
      <w:r>
        <w:t>Le litige porte sur la question de savoir si c’est à juste titre que l’intimé a requis de l'hoirie la restitution d'une partie des prestations complémentaires pour la période courant du 1er février 2012 au 30 avril 2013.</w:t>
      </w:r>
    </w:p>
    <w:p>
      <w:r>
        <w:rPr>
          <w:b/>
        </w:rPr>
        <w:t>E. 5</w:t>
      </w:r>
    </w:p>
    <w:p>
      <w:r>
        <w:t>La jurisprudence a notamment déduite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w:t>
      </w:r>
    </w:p>
    <w:p>
      <w:r>
        <w:t>A/2464/2013 - 6/10 -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Selon la jurisprudence, la violation du droit d'être entendu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w:t>
      </w:r>
    </w:p>
    <w:p>
      <w:r>
        <w:rPr>
          <w:b/>
        </w:rPr>
        <w:t>E. 6</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ATFA non publié P 32/06 du 14 novembre 2006, consid. 3 et les références).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134 consid. 2c ; ATF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w:t>
      </w:r>
    </w:p>
    <w:p>
      <w:r>
        <w:t>A/2464/2013 - 7/10 - sont pas liées à une violation de l'obligation de renseigner (ATF 122 V 134 consid. 2e). Il s'agit simplement de rétablir l'ordre légal après la découverte du fait nouveau (ATF non publié 8C_120/2008 du 4 septembre 2008, consid. 3.1). Selon l'art. 3 al. 1 OPGA, l’étendue de l’obligation de restituer est fixée par une décision. c) Selon l'art. 2 al. 1 OPGA,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et les tiers ou les autorités à qui ont été versées après coup des prestations indues, à l'exception du tuteur (let. c).</w:t>
      </w:r>
    </w:p>
    <w:p>
      <w:r>
        <w:rPr>
          <w:b/>
        </w:rPr>
        <w:t>E. 7</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8</w:t>
      </w:r>
    </w:p>
    <w:p>
      <w:r>
        <w:t>L'intéressé a le droit de demander la remise de l'obligation de restituer, lorsque la restitution des prestations allouées indûment, mais reçues de bonne foi, le mettrait dans une situation difficile (art. 25 al. 1 2ème phrase LPGA). En vertu de l'art. 3 al. 2 OPGA, l'assureur est tenu d'indiquer la possibilité d'une remise dans la décision de restitution. La demande de remise ne peut être traitée sur le fond que si</w:t>
      </w:r>
    </w:p>
    <w:p>
      <w:r>
        <w:t>A/2464/2013 - 8/10 - la décision de restitution est entrée en force. La remise et son étendue font ainsi l'objet d'une procédure distincte (ATFA non publiés P 63/06 du 14 mars 2007, consid. 3 et C 264/05 du 25 janvier 2006, consid. 2.1).</w:t>
      </w:r>
    </w:p>
    <w:p>
      <w:r>
        <w:rPr>
          <w:b/>
        </w:rPr>
        <w:t>E. 9</w:t>
      </w:r>
    </w:p>
    <w:p>
      <w:r>
        <w:t>En l'espèce, il est établi que le SPC n'a pas tenu compte du revenu de l'activité lucrative de l'épouse de l'assuré dès le 1er février 2012 par décision du 29 mars 2012. Il n'est pas contesté que le SPC disposait alors de tous les éléments pertinents pour correctement calculer le montant des prestations dues, y compris le certificat de salaire 2011 de l'épouse de l'assuré et l'avis de situation établi par l'EMS mentionnant expressément ce revenu. Il s'agit donc bien d'une erreur imputable à l'administration. Cela étant, la jurisprudence retient que le délai de péremption d’une année pour réclamer les prestations versées à tort en raison de cette erreur ne part de la date de l'erreur, mais bien du moment où le SPC procède à une révision du dossier et peut se rendre compte de l'erreur commise. Le 26 juillet 2012, lorsque l'EMS a communiqué la décision d'octroi de l'allocation pour impotent, le SPC a modifié le montant des prestations du 1er novembre 2011 au 31 août 2012 en reportant, sans autre examen des autres éléments de revenus, l'erreur précédemment commise. C'est ainsi que le revenu de l'épouse a été maintenu pour la période antérieure au 1er février 2012 et qu'il a été omis pour la période ultérieure. La question de savoir si, à cette occasion, il était exigible du SPC qu'il procède à une révision de l'ensemble des bases de calcul, ce qui lui permettait de se rendre compte de son erreur, ou s'il pouvait se contenter de modifier le seul élément nouveau, soit l'allocation d'impotent, pourra rester ouverte. En effet, il s'avère que la décision de restitution du 25 avril 2013 est, quoi qu'il en soit, intervenue dans le délai de péremption d'un an dès le 26 juillet 2012.</w:t>
      </w:r>
    </w:p>
    <w:p>
      <w:r>
        <w:rPr>
          <w:b/>
        </w:rPr>
        <w:t>E. 10</w:t>
      </w:r>
    </w:p>
    <w:p>
      <w:r>
        <w:t>Par ailleurs, les conditions d'une obligation de restituer les prestations versées à tort sont manifestement remplies, étant rappelé qu'il s'agit uniquement de rétablir une décision conforme au droit, qui tient compte de l'ensemble des éléments de revenus, et ce indépendamment de la bonne foi de l'assuré ou de ses héritiers. Les calculs du SPC ne sont au demeurant pas contestés et ils sont correctement fondés sur les pièces produites. Au surplus, l'absence totale de motivation de la décision du 25 avril 2013 est sans conséquences sur la validité de cette décision et de la décision sur opposition, dès lors que l'hoirie a néanmoins pu contester la décision et que, sur opposition, la décision a été suffisamment motivée. De même, si la notification d'une décision de restitution sans aucune explication, ni motivation, ce d'autant qu'elle est due à une erreur de l'administration, peu après le décès de l'assuré et sans un mot de condoléances, fait sans aucun doute preuve d'un manque total d'égard, cela reste sans effet sur la validité de la décision.</w:t>
      </w:r>
    </w:p>
    <w:p>
      <w:r>
        <w:t>A/2464/2013 - 9/10 - La décision sur opposition du 28 juin 2013, qui confirme la décision du 25 avril 2013, réclamant à l'hoirie de feu l'assuré le remboursement des prestations versées à tort du 1er février 2012 au 30 avril 2013, soit 17'470 fr., est donc bien fondée.</w:t>
      </w:r>
    </w:p>
    <w:p>
      <w:r>
        <w:rPr>
          <w:b/>
        </w:rPr>
        <w:t>E. 11</w:t>
      </w:r>
    </w:p>
    <w:p>
      <w:r>
        <w:t>C'est dans le cadre de la demande de remise que la bonne foi devra être examinée, étant d'ores et déjà établi que l'épouse de l'assuré a toujours diligemment transmis à l'EMS puis au SPC l'ensemble des pièces pertinentes, y compris son certificat de salaire annuel. La bonne foi devra aussi être appréciée au vu des explications de la recourante, qui n'a pas réalisé que la facture de l'EMS était réduite à concurrence des prestations plus élevées que l'EMS encaissait depuis février 2012. Cela étant, la remise ne peut être accordée qu'aux conditions cumulatives de la bonne foi et de la situation financière difficile, sur laquelle le SPC devra aussi se pencher.</w:t>
      </w:r>
    </w:p>
    <w:p>
      <w:r>
        <w:rPr>
          <w:b/>
        </w:rPr>
        <w:t>E. 12</w:t>
      </w:r>
    </w:p>
    <w:p>
      <w:r>
        <w:t>Au vu de ce qui précède, le recours est rejeté. Le SPC est invité à statuer sur la demande de remise dès l'entrée en force du présent arrêt. Pour le surplus, la procédure est gratuite (art. 61 let. a LPGA).</w:t>
      </w:r>
    </w:p>
    <w:p>
      <w:r>
        <w:t>A/2464/2013 - 10/10 -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