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ATAS/103/2024 vom 14. Februar 2024</w:t>
      </w:r>
    </w:p>
    <w:p>
      <w:r>
        <w:t>GE Cour de justice, 2024-02-14, FR</w:t>
      </w:r>
    </w:p>
    <w:p>
      <w:r>
        <w:rPr>
          <w:b/>
        </w:rPr>
        <w:t xml:space="preserve">Quelle: </w:t>
      </w:r>
      <w:r>
        <w:t>https://mcp.opencaselaw.ch/entscheid/ge_gerichte_ATAS_103_2024</w:t>
      </w:r>
    </w:p>
    <w:p>
      <w:r>
        <w:t>FR: GE_GERICHTE ATAS/103/2024 du 14 février 2024</w:t>
      </w:r>
    </w:p>
    <w:p>
      <w:r>
        <w:t>IT: GE_GERICHTE ATAS/103/2024 del 14 febbraio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de la recourante aux prestations de l’intimée du 1er janvier au 31 juin 2021 s’agissant de son atteinte à l’épaule droite.</w:t>
      </w:r>
    </w:p>
    <w:p>
      <w:r>
        <w:rPr>
          <w:b/>
        </w:rPr>
        <w:t>E. 4.1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4.2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w:t>
      </w:r>
    </w:p>
    <w:p>
      <w:r>
        <w:t>A/1628/2022 - 9/15 -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w:t>
      </w:r>
    </w:p>
    <w:p>
      <w:r>
        <w:rPr>
          <w:b/>
        </w:rPr>
        <w:t>E. 4.3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4.4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w:t>
      </w:r>
    </w:p>
    <w:p>
      <w:r>
        <w:t>A/1628/2022 - 10/15 -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w:t>
      </w:r>
    </w:p>
    <w:p>
      <w:r>
        <w:rPr>
          <w:b/>
        </w:rPr>
        <w:t>E. 4.5</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4.6</w:t>
      </w:r>
    </w:p>
    <w:p>
      <w:r>
        <w:t>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w:t>
      </w:r>
    </w:p>
    <w:p>
      <w:r>
        <w:rPr>
          <w:b/>
        </w:rPr>
        <w:t>E. 4.7</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w:t>
      </w:r>
    </w:p>
    <w:p>
      <w:r>
        <w:t>A/1628/2022 - 11/15 -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4.9</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4.10</w:t>
      </w:r>
    </w:p>
    <w:p>
      <w:r>
        <w:t>En cas de rechutes ou de séquelles tardives,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w:t>
      </w:r>
    </w:p>
    <w:p>
      <w:r>
        <w:t>A/1628/2022 - 12/15 - sévères (SVR 2016 n° UV p. 55 consid. 2.2.2; cf. également arrêt du Tribunal fédéral 17 du 3 mai 2018 consid. 4.2).</w:t>
      </w:r>
    </w:p>
    <w:p>
      <w:r>
        <w:rPr>
          <w:b/>
        </w:rPr>
        <w:t>E. 4.11</w:t>
      </w:r>
    </w:p>
    <w:p>
      <w:r>
        <w:t>Il faut relever à cet égard que la jurisprudence concernant les premières déclarations ou les déclarations de la première heure, devant se voir reconnaître une force probante plus élevée que les suivantes (cf. ATF 121 V 45 consid. 2a), ne constitue pas une règle de droit absolue, faute de quoi elle entrerait en conflit avec le principe de la libre appréciation des preuves (art. 61 let. c LPGA).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(arrêt du Tribunal fédéral 9C_139/2010 du 29 octobre 2010 consid. 3.2).</w:t>
      </w:r>
    </w:p>
    <w:p>
      <w:r>
        <w:rPr>
          <w:b/>
        </w:rPr>
        <w:t>E. 5.1.1</w:t>
      </w:r>
    </w:p>
    <w:p>
      <w:r>
        <w:t>L’intimée conteste les conclusions de l’expert judiciaire, relevant, dans un premier grief, que pour expliquer le long délai entre l’accident du 16 mai 2018 et la première plainte de douleurs à l’épaule et l’IRM du 29 mai 2019, l’expert avait simplement indiqué que les douleurs au genou étaient prédominantes, reprenant ainsi uniquement les dires de la recourante, sans les justifier médicalement, ce qui peinait à convaincre.</w:t>
      </w:r>
    </w:p>
    <w:p>
      <w:r>
        <w:rPr>
          <w:b/>
        </w:rPr>
        <w:t>E. 5.1.2</w:t>
      </w:r>
    </w:p>
    <w:p>
      <w:r>
        <w:t>De manière générale, les déclarations de la personne assurée sur le déroulement de l’événement et l’évolution du cas font parties des éléments sur lesquels les experts fondent leurs conclusions, pour autant qu’elles soient convaincantes et corroborées par le dossier et l’examen médical. En l’occurrence, l’expert s’est en effet fondé sur les déclarations de la recourante, selon lesquelles son problème principal après l’événement était son genou, car il lui avait causé de vives douleurs et avait enflé, ce qui expliquait selon l’expert qu’elle n’avait mentionné que le genou à l’assurance pensant que pour l’épaule « ça allait passer ». L’expert a également relevé dans ce contexte que la paralysie n’intervenait que si l’arrachement tendineux était important, ce qui n’avait pas été le cas lors de l’événement. Il en résulte que des constats médicaux corroboraient selon lui le fait que la recourante avait pu minimiser son atteinte à l’épaule.</w:t>
      </w:r>
    </w:p>
    <w:p>
      <w:r>
        <w:rPr>
          <w:b/>
        </w:rPr>
        <w:t>E. 5.2.1</w:t>
      </w:r>
    </w:p>
    <w:p>
      <w:r>
        <w:t>L’intimée a encore fait valoir que le mécanisme de l’accident tel qu’établi par le Prof. H______ par sa reconstitution n’était pas détaillé auparavant dans le dossier. La recourante avait en particulier indiqué dans le questionnaire du 20 juin 2018 qu’elle avait chuté et eu un choc du genou contre le mur et les Drs G______ et H______ avaient également évoqué une chute. On ne pouvait ainsi reprocher à ses médecins-conseils d’avoir retenu le mécanisme d’une chute.</w:t>
      </w:r>
    </w:p>
    <w:p>
      <w:r>
        <w:t>A/1628/2022 - 13/15 -</w:t>
      </w:r>
    </w:p>
    <w:p>
      <w:r>
        <w:rPr>
          <w:b/>
        </w:rPr>
        <w:t>E. 5.2.2</w:t>
      </w:r>
    </w:p>
    <w:p>
      <w:r>
        <w:t>Si la recourante a évoqué une chute dans les escaliers dans le questionnaire du 20 juin 2018, il ressort de la déclaration d’accident du 11 juin 2018 que l’événement n’était pas décrit de la même manière, puisqu’il y était indiqué par l’employeuse qu’en descendant des escaliers avec l’enfant dans les bras, l’assurée avait trébuché et que « pour ne pas tomber », elle s’était retenue contre le mur et avait plié brusquement le genou et ressenti une grosse douleur. Le déroulement exact de l’événement est ainsi sujet à interprétation et la version des faits retenue par le Prof. H______, telle qu’elle ressort de sa reconstitution, correspond à la première description faite par la recourante à son employeur, de sorte qu’elle est convaincante. De plus, il faut relever que la description de l’accident faite par le Dr C______ relève de l’hypothèse, puisqu’il retenait une contusion de l’épaule « qui avait pu survenir » au moment de l’accident et qu’une contusion de l’épaule n’a pas été constatée, à teneur des premiers rapports médicaux.</w:t>
      </w:r>
    </w:p>
    <w:p>
      <w:r>
        <w:rPr>
          <w:b/>
        </w:rPr>
        <w:t>E. 5.3.1</w:t>
      </w:r>
    </w:p>
    <w:p>
      <w:r>
        <w:t>L’intimée a encore relevé qu’en ce qui concernait la notion de dégénérescence, l’expert avait à peine évoqué l’âge de la recourante (53 ans) ainsi que son obésité, qui impliquait avec le diabète des dégénérescences.</w:t>
      </w:r>
    </w:p>
    <w:p>
      <w:r>
        <w:rPr>
          <w:b/>
        </w:rPr>
        <w:t>E. 5.3.2</w:t>
      </w:r>
    </w:p>
    <w:p>
      <w:r>
        <w:t>L’expert judiciaire a résumé la littérature concernant la clinique de la rupture des tendons de la coiffe des rotateurs, en citant des études qui se référaient au groupe d’âges des personnes analysées. Il a précisé dans son analyse du cas, en lien avec le rapport du Dr C______ du 30 juin 2021, que l’âge de 53 ans, soit celui de l’assurée, était un âge charnière en matière de coiffes dégénératives ou traumatiques et qu’il pouvait exister l’une ou l’autre à cet âge comme le démontraient les séries cliniques. L’on ne peut ainsi reprocher à l’expert de pas avoir suffisamment tenu compte de l’âge de la recourante. L’expert a en outre évoqué le BMI de celle-ci et le fait qu’elle était diabétique. La critique peu motivée de l’intimée sur les dégénérescences impliquées par le diabète et l’obésité ne suffit pas à remettre en cause les conclusions de l’expert judiciaire.</w:t>
      </w:r>
    </w:p>
    <w:p>
      <w:r>
        <w:rPr>
          <w:b/>
        </w:rPr>
        <w:t>E. 5.4</w:t>
      </w:r>
    </w:p>
    <w:p>
      <w:r>
        <w:t>La chambre de céans a déjà considéré dans son ordonnance d’expertise que le rapport d’expertise du Dr C______ ne pouvait se voir reconnaître une pleine valeur probante.</w:t>
      </w:r>
    </w:p>
    <w:p>
      <w:r>
        <w:rPr>
          <w:b/>
        </w:rPr>
        <w:t>E. 5.5</w:t>
      </w:r>
    </w:p>
    <w:p>
      <w:r>
        <w:t>L’appréciation médicale du 7 septembre 2020 de la Dre F______, qui concluait qu’au vu du mécanisme de l’accident et des constatations sur l’IRM, on pouvait conclure que la lésion partielle du sus-épineux était en relation de causalité au mieux possible avec l’événement, n’est que brièvement motivée et n’amène aucun élément qui aurait été ignoré par l’expert. Elle ne remet ainsi pas en cause les conclusions du Prof. H______.</w:t>
      </w:r>
    </w:p>
    <w:p>
      <w:r>
        <w:rPr>
          <w:b/>
        </w:rPr>
        <w:t>E. 5.6</w:t>
      </w:r>
    </w:p>
    <w:p>
      <w:r>
        <w:t>En conclusion, l’expert a procédé à un examen approfondi du cas et ses conclusions sont bien motivées et convaincantes. Son rapport doit ainsi se voir reconnaître une pleine valeur probante.</w:t>
      </w:r>
    </w:p>
    <w:p>
      <w:r>
        <w:t>A/1628/2022 - 14/15 -</w:t>
      </w:r>
    </w:p>
    <w:p>
      <w:r>
        <w:rPr>
          <w:b/>
        </w:rPr>
        <w:t>E. 6</w:t>
      </w:r>
    </w:p>
    <w:p>
      <w:r>
        <w:t>Sur cette base, il y a lieu de retenir que les troubles de la recourante à l’épaule droite étaient en relation de causalité naturelle avec l’événement du 16 mai 2018, de sorte que l’intimée doit prendre en charge son cas pour la période du 1er janvier au 30 juin 2021.</w:t>
      </w:r>
    </w:p>
    <w:p>
      <w:r>
        <w:rPr>
          <w:b/>
        </w:rPr>
        <w:t>E. 7.1</w:t>
      </w:r>
    </w:p>
    <w:p>
      <w:r>
        <w:t>Au vu de ce qui précède, le recours sera admis, la décision du 14 avril 2022 annulée et il sera dit que l’intimée doit prendre en charge le cas de la recourante entre le 1er janvier et le 30 juin 2021.</w:t>
      </w:r>
    </w:p>
    <w:p>
      <w:r>
        <w:rPr>
          <w:b/>
        </w:rPr>
        <w:t>E. 7.2</w:t>
      </w:r>
    </w:p>
    <w:p>
      <w:r>
        <w:t>La recourante obtenant gain de cause, une indemnité de CHF 3'000.- lui sera accordée à titre de participation à ses frais et dépens, à charge de l’intimée (art. 61 let. g LPGA; art. 6 du règlement sur les frais, émoluments et indemnités en matière administrative du 30 juillet 1986 [RFPA - E 5 10.03]).</w:t>
      </w:r>
    </w:p>
    <w:p>
      <w:r>
        <w:rPr>
          <w:b/>
        </w:rPr>
        <w:t>E. 7.3</w:t>
      </w:r>
    </w:p>
    <w:p>
      <w:r>
        <w:t>Les frais qui découlent de la mise en œuvre d'une expertise judiciaire peuvent être mis à la charge de l'assureur (cf. ATF 139 V 349 consid. 5.4), si ce dernier a procédé à une instruction présentant des lacunes ou des insuffisances caractérisées et que l'expertise judiciaire sert à pallier des manquements commis dans la phase d'instruction administrative (ATF 137 V 210 consid. 4.4.2). En l’espèce, une expertise judiciaire a été ordonnée par la chambre de céans, au motif que le rapport d’expertise du Dr C______ ne pouvait se voir reconnaître une pleine valeur probante. Il se justifie, en conséquence, de mettre les frais de l’expertise à la charge de l’intimée.</w:t>
      </w:r>
    </w:p>
    <w:p>
      <w:r>
        <w:rPr>
          <w:b/>
        </w:rPr>
        <w:t>E. 7.4</w:t>
      </w:r>
    </w:p>
    <w:p>
      <w:r>
        <w:t>Pour le surplus, la procédure est gratuite (art. 61 let. fbis LPGA a contrario).</w:t>
      </w:r>
    </w:p>
    <w:p>
      <w:r>
        <w:t>A/1628/2022 - 15/15 -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