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ATAS/103/2020 vom 17. Februar 2020</w:t>
      </w:r>
    </w:p>
    <w:p>
      <w:r>
        <w:t>GE Cour de justice, 2020-02-17, FR</w:t>
      </w:r>
    </w:p>
    <w:p>
      <w:r>
        <w:rPr>
          <w:b/>
        </w:rPr>
        <w:t xml:space="preserve">Quelle: </w:t>
      </w:r>
      <w:r>
        <w:t>https://mcp.opencaselaw.ch/entscheid/ge_gerichte_ATAS_103_2020</w:t>
      </w:r>
    </w:p>
    <w:p>
      <w:r>
        <w:t>FR: GE_GERICHTE ATAS/103/2020 du 17 février 2020</w:t>
      </w:r>
    </w:p>
    <w:p>
      <w:r>
        <w:t>IT: GE_GERICHTE ATAS/103/2020 del 17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A/3459/2019 - 10/19 -</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5</w:t>
      </w:r>
    </w:p>
    <w:p>
      <w:r>
        <w:t>Le litige porte sur la question de savoir si c’est à juste titre que l’intimée a refusé de modifier le taux de la rente octroyée au recourant et de lui rembourser les frais médicaux engendrés par l’atteinte à son membre supérieur droit. Il convient donc de se prononcer sur l’éventuelle aggravation de son état de santé depuis la décision du 1er mai 2017 qui est entrée en force, plus singulièrement sur la présence d’une éventuelle rechute ou séquelle tardive. Il s’agit d’examiner l’existence d’un lien de causalité entre les troubles du coude droit présentés par le recourant et l’accident de la main gauche dont il a été victime le 12 mars 2012, soit de déterminer si ces troubles sont la conséquence d’une sur-utilisation du membre supérieur droit due à l’état de quasi-amputation de son membre supérieur gauche.</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A/3459/2019 - 11/19 -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w:t>
      </w:r>
    </w:p>
    <w:p>
      <w:r>
        <w:t>A/3459/2019 - 12/19 -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9</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11</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t>A/3459/2019 - 13/19 -</w:t>
      </w:r>
    </w:p>
    <w:p>
      <w:r>
        <w:rPr>
          <w:b/>
        </w:rPr>
        <w:t>E. 12</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w:t>
      </w:r>
    </w:p>
    <w:p>
      <w:r>
        <w:t>A/3459/2019 - 14/19 -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La procédure dans le domaine des assurances sociales est régie par le principe inquisitoire d'après lequel les faits pertinents de la cause doivent être constatés d'office par l'assureur (art. 43 al. 1 LPGA) ou, éventuellement, par le juge (art. 61</w:t>
      </w:r>
    </w:p>
    <w:p>
      <w:r>
        <w:t>A/3459/2019 - 15/19 -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15</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t>A/3459/2019 - 16/19 -</w:t>
      </w:r>
    </w:p>
    <w:p>
      <w:r>
        <w:rPr>
          <w:b/>
        </w:rPr>
        <w:t>E. 16</w:t>
      </w:r>
    </w:p>
    <w:p>
      <w:r>
        <w:t>En l’espèce, l’évaluation médicale du bras accidenté du recourant (bras gauche) n’est contestée par aucune des parties, toutes concordant à dire que l’état de sa main gauche est comparable à celle d’un manchot d’un point de vue fonctionnel. Les parties sont en désaccord sur l’existence d’un lien de causalité entre les troubles au membre supérieur droit dont souffre le recourant et l’accident du 12 mars 2012. L’intimée s’est fondée sur l’avis du Dr H______ du 22 mars 2019, qui s’est lui- même notamment basé sur le rapport des Drs E______ et F______ du 3 mars 2017, pour retenir que les troubles du coude droit du recourant n’étaient pas en lien de causalité avec l’accident du 12 mars 2012. Le Dr H______ a relevé que le recourant n’exerçait pas d’activité professionnelle susceptible d’entraîner une nouvelle pathologie à droite par une hyper-utilisation de son membre supérieur droit, de sorte que la relation de causalité entre les troubles au coude droit et l’accident du 12 mars 2012 était au mieux possible. Quant aux Dr E______ et F______, ils avaient noté qu’à l’examen clinique, il n’y avait pas d’indices suggestifs d’une épicondylopathie du coude droit, et que la tendovaginite sténosante mentionnée dans l’anamnèse ne constituait ni une suite directe, ni une conséquence indirecte de l’événement accidentel du 12 mars 2012, dans la mesure où il n’était pas prouvé qu’il y ait une surcharge ou une sur sollicitation chronique de l’extrémité supérieure droite. Il convient à titre liminaire de relever que ces appréciations médicales n'ont pas été établies par des spécialistes indépendants, les médecins précités devant être considérés comme des médecins internes à l'intimée, et que, hormis celle des Drs E______ et F______, l’appréciation du Dr H______ a été établie sur dossier. Ces éléments ne remettent toutefois pas en question la valeur probante de ces rapports, pour autant que leurs appréciations se fonde sur suffisamment de pièces établies suite à un examen clinique du recourant et qu'elles répondent aux réquisits jurisprudentiels en matière de valeur probante. Force est de constater que l’appréciation médicale des Drs E______ et F______ répond à la plupart des réquisits jurisprudentiels en la matière : elle comporte une description des pièces figurant au dossier, une description des plaintes du recourant et une appréciation de la situation, et elle ne contient pas d'incohérences. Par ailleurs, ses conclusions semblent de prime abord claires et motivées. Elle date cependant de début 2017, soit d’il y a plus de trois ans. Quant au rapport du Dr H______, il est pour le moins succinct, se contentant de citer diverses pièces du dossier, contenant une appréciation tenant sur quelques lignes seulement, et ne prenant pas en considération les plaintes du recourant. Dans le cadre de la présente procédure, l’intimée a également soumis le cas à l’appréciation de la Dresse M______, laquelle a indiqué qu’une épicondylite survenait principalement à la suite d’une sollicitation du bras importante ou répétée. Celle-ci a toutefois retenu que le recourant n’exerçait ni activité professionnelle, ni activité sportive, et ne participait pas aux activités domestiques, de sorte que ses activités quotidiennes n’étaient pas de nature à sur-solliciter son membre supérieur</w:t>
      </w:r>
    </w:p>
    <w:p>
      <w:r>
        <w:t>A/3459/2019 - 17/19 - droit. La Dresse M______ regrettait qu’il n’y ait aucune iconographie dans le dossier, ni de constatations cliniques décrivant l’état du coude droit du recourant. On peut cependant douter de la valeur probante de ce rapport : il se fonde en effet sur une hypothèse non confirmée de sous-utilisation du bras droit par le recourant, qui est hasardeuse. À l’appui de son recours, le recourant a produit plusieurs rapports reconnaissant l’existence d’un tel lien de causalité, ou du moins sa probable existence. Ainsi, dans son rapport du 7 septembre 2016, le Dr D______ a relevé qu’à la suite d’une sur- utilisation de la main droite, l’assuré avait développé une symptomatologie d’épicondyalgies, d’épitrochléagies au niveau du coude droit ainsi que de ténosynovite sténosante au niveau du majeur droit. De même, dans ses rapports des 22 août et 3 décembre 2018, le Dr G______ a retenu que l’assuré présentait une épicondyalgie du coude droit avec des douleurs inflammatoires aussi au niveau de la main, qui pouvaient être une conséquence de son atteinte au membre supérieur gauche, notamment en raison de son activité mono manuelle main droite due au handicap particulièrement important qu’il présentait au niveau de la main gauche. Le 24 mai 2019, le Dr I______ a également estimé que l’épicondylite et l’épitrochléite au niveau du coude droit de l’assuré, qui avaient commencé après la reprise du travail, étaient probablement liées à une sur-sollicitation du bras droit du fait du déficit et de son handicap à gauche. Ces trois médecins sont tous trois spécialisés en chirurgie de la main, les Drs G______ et I______ étant en outre spécialistes en chirurgie orthopédique et traumatologique. Enfin, la Dresse C______ a indiqué le 31 mai 2019 que l’utilisation de sa main droite avait entraîné pour l’assuré des tendinites à répétition, ce dernier présentant au niveau du coude droit une tendinopathie bifocale non fissuraire. Dans le cadre de la présente procédure, le recourant a également indiqué que, contrairement à ce que soutenaient les médecins de l’intimée, il n’était pas resté inactif – ayant cherché à trouver un emploi depuis la fin de son droit aux prestations –, mais que ses divers essais s’étaient soldés par un échec. Au vu de ce qui précède, la chambre de céans n’est pas en mesure de trancher le fond du litige. Il subsiste un doute quant à la pertinence des avis médicaux sur lesquels s’est fondée l’intimée pour nier l’existence d’un lien de causalité entre les troubles dont souffre le recourant au membre supérieur droit et l’accident du 12 mars 2012. Étant donné la jurisprudence susmentionnée (ATF 135 V 465), il se justifie de renvoyer la cause à l’intimée afin qu’elle procède à une instruction complémentaire auprès d'un expert indépendant, visant à départager les opinions des Drs H______, P______, F______ et M______, d’une part, et des Drs D______, G______, I______ et C______, d’autre part.</w:t>
      </w:r>
    </w:p>
    <w:p>
      <w:r>
        <w:rPr>
          <w:b/>
        </w:rPr>
        <w:t>E. 17</w:t>
      </w:r>
    </w:p>
    <w:p>
      <w:r>
        <w:t>Le recours sera partiellement admis et la décision sur opposition de l’intimée du</w:t>
      </w:r>
    </w:p>
    <w:p>
      <w:r>
        <w:rPr>
          <w:b/>
        </w:rPr>
        <w:t>E. 19</w:t>
      </w:r>
    </w:p>
    <w:p>
      <w:r>
        <w:t>Pour le surplus, la procédure est gratuite (art. 61 let. a LPGA).</w:t>
      </w:r>
    </w:p>
    <w:p>
      <w:r>
        <w:t>A/3459/2019 - 19/19 -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