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ATAS/103/2016 vom 4. Februar 2016</w:t>
      </w:r>
    </w:p>
    <w:p>
      <w:r>
        <w:t>GE Cour de justice, 2016-02-04, FR</w:t>
      </w:r>
    </w:p>
    <w:p>
      <w:r>
        <w:rPr>
          <w:b/>
        </w:rPr>
        <w:t xml:space="preserve">Quelle: </w:t>
      </w:r>
      <w:r>
        <w:t>https://mcp.opencaselaw.ch/entscheid/ge_gerichte_ATAS_103_2016</w:t>
      </w:r>
    </w:p>
    <w:p>
      <w:r>
        <w:t>FR: GE_GERICHTE ATAS/103/2016 du 4 février 2016</w:t>
      </w:r>
    </w:p>
    <w:p>
      <w:r>
        <w:t>IT: GE_GERICHTE ATAS/103/2016 del 4 febbraio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a été déposé dans les forme et délai imposés par la loi, de sorte qu’il est recevable.</w:t>
      </w:r>
    </w:p>
    <w:p>
      <w:r>
        <w:t>A/4087/2015 - 4/8 -</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w:t>
      </w:r>
    </w:p>
    <w:p>
      <w:r>
        <w:rPr>
          <w:b/>
        </w:rPr>
        <w:t>E. 4</w:t>
      </w:r>
    </w:p>
    <w:p>
      <w:r>
        <w:t>Se pose en premier lieu la question de savoir si c’est à juste titre que l’intimé a pris en compte le bien immobilier du recourant à titre de fortune et qu’il a également pris en compte le produit qu’il pourrait rapporter à l’intéressé.</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Un droit de propriété a pour son titulaire une valeur économique, qui est prise en considération à titre de produit de la fortune, conformément à l'art. 11 al. 1 let. b LPC. S'il s'agit d'un immeuble d'habitation, le propriétaire peut le mettre en location ou y habiter lui-même. La valeur locative du logement occupé par le propriétaire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w:t>
      </w:r>
    </w:p>
    <w:p>
      <w:r>
        <w:rPr>
          <w:b/>
        </w:rPr>
        <w:t>E. 7</w:t>
      </w:r>
    </w:p>
    <w:p>
      <w:r>
        <w:t>Le juge des assurances sociales fonde sa décision, sauf dispositions contraires de la loi, sur les faits qui, faute d’être établis de manière irréfutable, apparaissent comme</w:t>
      </w:r>
    </w:p>
    <w:p>
      <w:r>
        <w:t>A/4087/2015 - 5/8 -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8</w:t>
      </w:r>
    </w:p>
    <w:p>
      <w:r>
        <w:t>En l'espèce, selon l'évaluation produite par le bénéficiaire lui-même, le bien immobilier, même s’il est relevé que sa toiture est en bois et qu’il est partiellement délabré, représente une valeur vénale de KM 86'000.- et une valeur locative de KM 300.-. Il n'existe pas de motif de s'écarter de cette évaluation immobilière, puisqu’elle tient compte des allégués du recourant (toiture en bois, aspect partiellement délabré). Si le recourant renonce à mettre son bien en location, il convient de considérer le revenu auquel il renonce ainsi comme un bien dessaisi dont il convient de tenir compte. Eu égard à ces considérations, on ne saurait donc reprocher à l’intimé d’avoir pris en considération ces éléments dans ses calculs.</w:t>
      </w:r>
    </w:p>
    <w:p>
      <w:r>
        <w:rPr>
          <w:b/>
        </w:rPr>
        <w:t>E. 9</w:t>
      </w:r>
    </w:p>
    <w:p>
      <w:r>
        <w:t>Reste à examiner la question de la prescription soulevée par le recourant. 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w:t>
      </w:r>
    </w:p>
    <w:p>
      <w:r>
        <w:t>A/4087/2015 - 6/8 -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10</w:t>
      </w:r>
    </w:p>
    <w:p>
      <w:r>
        <w:t>Le recourant conteste l’application du délai de prescription pénale en l’espèce. 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pour la violation du devoir d’informer. Quant à l'art. 146 al. 1 CP, il sanctionne l’infraction</w:t>
      </w:r>
    </w:p>
    <w:p>
      <w:r>
        <w:t>A/4087/2015 - 7/8 - d’escroquerie d’une peine privative de liberté de cinq ans au plus ou d’une peine pécuniaire. c) Selon l'art. 97 al. 1 CP, l'action pénale se prescrit par 30 ans si l'infraction était passible d'une peine privative de liberté à vie, par 15 ans si elle était passible d'une peine privative de liberté de plus de trois ans, et par 7 ans si elle était passible d'une autre peine. Le délai de prescription de l'action pénale pour une infraction telle que celle décrite à l'art. 31 LPC est donc de 7 ans, celui d’une infraction à l'art. 146 al. 1 CP de 15 ans. d)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w:t>
      </w:r>
    </w:p>
    <w:p>
      <w:r>
        <w:rPr>
          <w:b/>
        </w:rPr>
        <w:t>E. 11</w:t>
      </w:r>
    </w:p>
    <w:p>
      <w:r>
        <w:t>En l’espèce, il ressort du dossier que ce n’est qu’en octobre 2014 que l’intimé a eu connaissance de l’existence du bien immobilier dont le recourant lui avait caché l’existence. Dès lors, l’intimé, en statuant le 3 décembre 2014, a agi en temps utile. Il est manifeste que le recourant à violé son obligation de renseigner (art. 31 LPC) en n’annonçant pas, dans sa demande initiale, être le propriétaire d’un bien immobilier alors que la question d’un bien immobilier à l’étranger était expressément posée. Or,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En l’espèce, les conditions de l’art. 31 LPC - dans sa teneur depuis le 1er janvier 2008 - sont à l’évidence réalisées, le recourant ayant, par son silence qualifié, certes tacitement mais de façon mensongère, dissimulé une part importante de fortune. Il y a par conséquent lieu de retenir qu’il s’est à tout le moins rendu coupable d’une infraction à l’art. 31 LPC puisqu’il a bénéficié de prestations complémentaires établies sur la base d’un état des revenus et du patrimoine inexact. C’est dès lors à juste titre que l’intimé a appliqué un délai de prescription de 7 ans. Sur ce point, le recours est également rejeté.</w:t>
      </w:r>
    </w:p>
    <w:p>
      <w:r>
        <w:rPr>
          <w:b/>
        </w:rPr>
        <w:t>E. 12</w:t>
      </w:r>
    </w:p>
    <w:p>
      <w:r>
        <w:t>Quant aux protestations de bonne foi du recourant, elles ne lui sont d’aucun secours à ce stade de la procédure. Sa bonne foi et sa condition financière feront l’objet d’un examen ultérieur, s’agissant de la remise de l’obligation de restituer, qui fait l’objet d’une procédure distincte, une fois la décision en restitution entrée en force.</w:t>
      </w:r>
    </w:p>
    <w:p>
      <w:r>
        <w:rPr>
          <w:b/>
        </w:rPr>
        <w:t>E. 13</w:t>
      </w:r>
    </w:p>
    <w:p>
      <w:r>
        <w:t>Eu égard aux considérations qui précèdent, le recours est rejeté.</w:t>
      </w:r>
    </w:p>
    <w:p>
      <w:r>
        <w:t>A/4087/2015 - 8/8 -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