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ATAS/103/2015 vom 9. Februar 2015</w:t>
      </w:r>
    </w:p>
    <w:p>
      <w:r>
        <w:t>GE Cour de justice, 2015-02-09, FR</w:t>
      </w:r>
    </w:p>
    <w:p>
      <w:r>
        <w:rPr>
          <w:b/>
        </w:rPr>
        <w:t xml:space="preserve">Quelle: </w:t>
      </w:r>
      <w:r>
        <w:t>https://mcp.opencaselaw.ch/entscheid/ge_gerichte_ATAS_103_2015</w:t>
      </w:r>
    </w:p>
    <w:p>
      <w:r>
        <w:t>FR: GE_GERICHTE ATAS/103/2015 du 9 février 2015</w:t>
      </w:r>
    </w:p>
    <w:p>
      <w:r>
        <w:t>IT: GE_GERICHTE ATAS/103/2015 del 9 febbraio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Conformément à l’art. 35 CGA, outre le domicile suisse du preneur d’assurance, de l’assuré ou de l’ayant droit, [la défenderesse] reconnaît le lieu de son siège social comme lieu de juridiction. Le demandeur ayant son domicile à Genève, la compétence de la chambre de céans pour juger du cas d’espèce est établie.</w:t>
      </w:r>
    </w:p>
    <w:p>
      <w:r>
        <w:rPr>
          <w:b/>
        </w:rPr>
        <w:t>E. 2</w:t>
      </w:r>
    </w:p>
    <w:p>
      <w:r>
        <w:t>La LCA est applicable à la présente assurance, comme cela ressort notamment de l’art. 2 CGA.</w:t>
      </w:r>
    </w:p>
    <w:p>
      <w:r>
        <w:rPr>
          <w:b/>
        </w:rPr>
        <w:t>E. 3</w:t>
      </w:r>
    </w:p>
    <w:p>
      <w:r>
        <w:t>a) La loi fédérale sur la surveillance des entreprises d’assurance du 17 décembre 2004 (LSA - RS 961.01) ne contient pas de règles spécifiques concernant les délais relatifs aux contestations de droit privé qui s’élèvent entre les entreprises d’assurance et les assurés.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w:t>
      </w:r>
    </w:p>
    <w:p>
      <w:r>
        <w:t>A/1084/2014 - 9/13 - prévu une instance cantonale unique selon l'art. 7 CPC (ATF 138 III 558 consid. 4.5 et 4.6). Par conséquent, la demande, déposée dans la forme prévue à l'art. 244 CPC, est recevable.</w:t>
      </w:r>
    </w:p>
    <w:p>
      <w:r>
        <w:rPr>
          <w:b/>
        </w:rPr>
        <w:t>E. 4</w:t>
      </w:r>
    </w:p>
    <w:p>
      <w:r>
        <w:t>La contestation porte sur le droit du demandeur à des indemnités journalières en raison de maladie du 1er février au 30 avril 2014.</w:t>
      </w:r>
    </w:p>
    <w:p>
      <w:r>
        <w:rPr>
          <w:b/>
        </w:rPr>
        <w:t>E. 5</w:t>
      </w:r>
    </w:p>
    <w:p>
      <w:r>
        <w:t>Selon l’art. 5.3 CGA, l’incapacité de travail est définie comme l’incapacité totale ou partielle d’exercer son activité professionnelle habituelle, ou toute autre activité professionnelle adaptée raisonnablement exigible. L’art. 11 let. b CGA dispose que la couverture d’assurance prend fin, pour chaque assuré, lorsqu’il quitte le cercle des assurés. L’art. 12.1 CGA, régissant l’extinction et la prolongation du droit aux prestations, prévoit que le droit aux prestations en cours prend fin en même temps que la couverture d’assurance. Conformément à l’art. 13.2 CGA, ayant trait au droit de passage dans l’assurance individuelle, pour bénéficier de ce droit, l’assuré doit faire valoir son droit de passage par écrit au plus tard dans les trois mois [après que l’assuré a quitté le cercle des assurés].</w:t>
      </w:r>
    </w:p>
    <w:p>
      <w:r>
        <w:rPr>
          <w:b/>
        </w:rPr>
        <w:t>E. 6</w:t>
      </w:r>
    </w:p>
    <w:p>
      <w:r>
        <w:t>En préambule, il convient de relever que les rapports de travail du demandeur ont été résiliés pour le 31 décembre 2013, de sorte qu’il est sorti du cercle des assurés à cette date. Selon les pièces versées au dossier, le demandeur n’a pas demandé son transfert dans l’assurance individuelle.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w:t>
      </w:r>
    </w:p>
    <w:p>
      <w:r>
        <w:t>A/1084/2014 - 10/13 -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l’art. 12.1 CGA constitue une telle clause conditionnant le droit aux prestations à la poursuite de la couverture. Il apparaît ainsi que le demandeur n’a plus droit aux prestations dès le 1er janvier 2014, n'ayant pas fait valoir son droit de passage conformément à l’art. 13.2 CGA. La demande doit ainsi être rejetée pour ce motif déjà.</w:t>
      </w:r>
    </w:p>
    <w:p>
      <w:r>
        <w:rPr>
          <w:b/>
        </w:rPr>
        <w:t>E. 7</w:t>
      </w:r>
    </w:p>
    <w:p>
      <w:r>
        <w:t>Par surabondance, il convient de rappeler ce qui suit. a) Selon l'art. 8 du code civil (CC ; RS 210),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b)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w:t>
      </w:r>
    </w:p>
    <w:p>
      <w:r>
        <w:t>A/1084/2014 - 11/13 -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(arrêt du Tribunal fédéral 4A_168/2007 du 16 juillet 2007 consid. 3.2.1). Selon la jurisprudence, un délai de trois à cinq mois imparti dès l'avertissement de la caisse doit en règle générale être considéré comme adéquat (ATF 133 III 527 consid. 3.2.1 ; ATF 111 V 235 consid. 2a; SJ 2000 II 440 consid. 2b). Afin de déterminer la durée de la période d'adaptation, il convient de tenir compte des circonstances concrètes telles que la difficulté de retrouver un emploi, l'âge de l'assuré et la capacité de travail dans une activité adaptée (arrêt du Tribunal fédéral des assurances K 64/04 du 29 juin 2006 consid. 4.1). d) En l’espèce, la défenderesse a considéré que le demandeur disposait d’une pleine capacité de travail dans une activité adaptée dès le 1er février 2014. Bien qu’aucun des rapports médicaux au dossier ne corresponde en tous points aux exigences du Tribunal fédéral en matière d’expertises médicales rappelées ci-dessus, il n’existe aucun motif de s’écarter de cette appréciation. En effet, s’agissant des troubles à l’épaule, les Drs E______ et G______ ont tous deux attesté d’une capacité de travail totale dès le 23 septembre 2013 pour cette atteinte et l’arthro-IRM pratiquée n’a révélé aucune lésion nouvelle. La persistance de douleurs à l’épaule depuis l’accident de 2002 n’est en particulier pas un élément nouveau justifiant une incapacité de travail dans une activité adaptée. Quant aux douleurs dorsales, il n’existe aucun substrat organique qui peut les expliquer. L’IRM du 2 décembre 2013, hormis de très minimes troubles dégénératifs, n’a mis en évidence aucune lésion. La Dresse F______ a d’ailleurs évoqué un contexte de surcharge psychique de ces douleurs. Enfin, le fait que le Dr L______ suive le demandeur pour ses douleurs ne suffit pas à considérer qu’elles sont incapacitantes. Dans ces conditions, une activité légère paraît possible. C’est ainsi à juste titre que la</w:t>
      </w:r>
    </w:p>
    <w:p>
      <w:r>
        <w:t>A/1084/2014 - 12/13 - défenderesse a invité le demandeur à changer de profession par courrier du 17 novembre 2013 et mis un terme au versement de prestations après un délai imparti à cet effet.</w:t>
      </w:r>
    </w:p>
    <w:p>
      <w:r>
        <w:rPr>
          <w:b/>
        </w:rPr>
        <w:t>E. 8</w:t>
      </w:r>
    </w:p>
    <w:p>
      <w:r>
        <w:t>Eu égard à ce qui précède, la demande est rejetée. La défenderesse, qui n’est pas représentée, n’a pas droit à des dépens. Pour le surplus, la procédure est gratuite (art. 114 let. e CPC).</w:t>
      </w:r>
    </w:p>
    <w:p>
      <w:r>
        <w:t>A/1084/2014 - 13/13 -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