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ATAS/103/2012 vom 13. Februar 2012</w:t>
      </w:r>
    </w:p>
    <w:p>
      <w:r>
        <w:t>GE Cour de justice, 2012-02-13, FR</w:t>
      </w:r>
    </w:p>
    <w:p>
      <w:r>
        <w:rPr>
          <w:b/>
        </w:rPr>
        <w:t xml:space="preserve">Quelle: </w:t>
      </w:r>
      <w:r>
        <w:t>https://mcp.opencaselaw.ch/entscheid/ge_gerichte_ATAS_103_2012</w:t>
      </w:r>
    </w:p>
    <w:p>
      <w:r>
        <w:t>FR: GE_GERICHTE ATAS/103/2012 du 13 février 2012</w:t>
      </w:r>
    </w:p>
    <w:p>
      <w:r>
        <w:t>IT: GE_GERICHTE ATAS/103/2012 del 13 febbraio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consid. 1.1 ; ATF 129 V 4, consid. 1.2 ; ATF 127 V 467, consid. 1 ; ATF 126 V 136, consid. 4b et les références citées). S'agissant des modifications de la LAI du 6 octobre 2006 (5ème révision de l'AI), entrées en vigueur le 1er janvier 2008, elles sont à prendre en considération pour déterminer les prestations dès cette date, eu égard au principe rappelé ci-dessus. Cela étant, cette novelle n'a pas amené de modifications substantielles en matière d'évaluation de l'invalidité (Message concernant la modification de la loi fédérale sur l'assurance-invalidité du 22 juin 2005, FF 2005 4215, p. 4322).</w:t>
      </w:r>
    </w:p>
    <w:p>
      <w:r>
        <w:rPr>
          <w:b/>
        </w:rPr>
        <w:t>E. 3</w:t>
      </w:r>
    </w:p>
    <w:p>
      <w:r>
        <w:t>Interjeté dans les forme et délai prévus par la loi (art. 56ss LPGA), le présent recours est recevable.</w:t>
      </w:r>
    </w:p>
    <w:p>
      <w:r>
        <w:rPr>
          <w:b/>
        </w:rPr>
        <w:t>E. 4</w:t>
      </w:r>
    </w:p>
    <w:p>
      <w:r>
        <w:t>Le litige porte sur le droit de la recourante à des prestations de l’assurance- invalidité, singulièrement sur son degré d’invalidité.</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w:t>
      </w:r>
    </w:p>
    <w:p>
      <w:r>
        <w:t>A/1654/2011 - 12/19 -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 vertu de l’art. 28 al. 1er LAI dans sa teneur applicable depuis le 1er janvier 2008,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6</w:t>
      </w:r>
    </w:p>
    <w:p>
      <w:r>
        <w:t>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w:t>
      </w:r>
    </w:p>
    <w:p>
      <w:r>
        <w:t>A/1654/2011 - 13/19 -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e) Si un assuré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124 V 90 consid. 4b; 122 V 157 consid. 1d; Ueli KIESER, ATSG-Kommentar: Kommentar zum Bundesgesetz über</w:t>
      </w:r>
    </w:p>
    <w:p>
      <w:r>
        <w:t>A/1654/2011 - 14/19 - den Allgemeinen Teil des Sozialversicherungsrechts vom 6. Oktober 2000, 2ème éd., Zurich 2009, n. 72 ad art. 61).</w:t>
      </w:r>
    </w:p>
    <w:p>
      <w:r>
        <w:rPr>
          <w:b/>
        </w:rPr>
        <w:t>E. 7</w:t>
      </w:r>
    </w:p>
    <w:p>
      <w:r>
        <w:t>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128 V 174). 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si 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 I 168/05 du 24 avril 2006, consid. 3.3; ATF B 80/01 du 17 octobre 2003, consid. 5.2.2).</w:t>
      </w:r>
    </w:p>
    <w:p>
      <w:r>
        <w:t>A/1654/2011 - 15/19 - c)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consid. 3b/aa). Toutefois, lorsque cela apparaît indiqué dans un cas concret pour permettre à l'assuré de mettre pleinement à profit sa capacité résiduelle de travail, il y a lieu parfois de se référer aux salaires mensuels de secteurs particuliers,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ensemble), si cela permet de fixer plus précisément le revenu d'invalide et que le secteur en question est adapté et exigible (ATF 9C_142/2009 du 20 novembre 2009, consid. 4.1; ATF 9C_237/2007 du 24 août 2007, consid. 5.1; RAMA 2000 n° U 405, consid. 3b).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w:t>
      </w:r>
    </w:p>
    <w:p>
      <w:r>
        <w:rPr>
          <w:b/>
        </w:rPr>
        <w:t>E. 8</w:t>
      </w:r>
    </w:p>
    <w:p>
      <w:r>
        <w:t>S’agissant de l’examen réalisé par le Dr H__________ de janvier 2009, il y a lieu de lui reconnaître une pleine valeur probante. Son rapport contient en effet une anamnèse, il a été établi en pleine connaissance du dossier médical de la recourante et tient compte des plaintes de celle-ci. L’examinateur a en outre procédé à un examen clinique complet avant de poser ses diagnostics, et ses conclusions sont clairement motivées. Les atteintes décrites par les Drs E__________ et G__________ dans les rapports antérieurs à l’expertise, soit la coxarthrose et les douleurs de la hanche ont par ailleurs été prises en considération par le Dr H__________ lorsque celui-ci a estimé la capacité de travail de la recourante, puisque ce spécialiste a admis qu’elle était restreinte à 70 % en raison des douleurs et que seule une activité sédentaire était adaptée à ses limitations fonctionnelles. On notera par ailleurs que la capacité de travail retenue par le Dr H__________ est inférieure à la première évaluation qui ressort du rapport du 8 décembre 2008 du Dr E__________, où ce médecin a indiqué qu'une activité sédentaire était exigible à raison de huit heures par jour, avant de réduire sans aucune explication le taux exigible à quatre heures par jour dans son rapport du 26 décembre suivant. La recourante argue que les conclusions du Dr H__________ ne peuvent être retenues dès lors que son état de santé s’est aggravé depuis son examen. Les rapports postérieurs à celui du Dr H__________ ne suffisent cependant pas à établir une telle aggravation. Le Dr G__________ a certes fait état dans son rapport du</w:t>
      </w:r>
    </w:p>
    <w:p>
      <w:r>
        <w:rPr>
          <w:b/>
        </w:rPr>
        <w:t>E. 9</w:t>
      </w:r>
    </w:p>
    <w:p>
      <w:r>
        <w:t>Il reste à examiner si le calcul du degré d’invalidité de la recourante dès cette date est conforme au droit. S’agissant du revenu sans invalidité, le montant de 46'475 fr. retenu par l’intimé, qui s’est fondé sur le contrat de travail de la recourante, correspond à</w:t>
      </w:r>
    </w:p>
    <w:p>
      <w:r>
        <w:rPr>
          <w:b/>
        </w:rPr>
        <w:t>E. 13</w:t>
      </w:r>
    </w:p>
    <w:p>
      <w:r>
        <w:t>mensualités à 3'575 fr. Ce calcul est erroné puisque le contrat prévoit que le revenu mensuel de 3'575 fr. inclut la part du 13ème salaire. Le revenu sans invalidité est ainsi de 42'900 fr. en 2005, et de 43'458 fr. après indexation en fonction de l’Indice suisse des salaires en 2006. Quant au revenu d’invalide, si le recours à des données statistiques ne prête pas flanc à la critique, le salaire tiré d’une activité simple et répétitive dans tous les domaines d’activité (ligne Total du tableau 1 de l’ESS 2006) est de 4'019 fr. pour les femmes, et non de 4'067 fr. comme le retient l'intimé. Le salaire annuel calculé en fonction d’une durée hebdomadaire de travail de 41.7 heures en 2006 selon la Statistique sur la durée normale du travail (DNT) est ainsi de 50'278 fr. à temps plein et de 35'195 fr. à 70 %. En opérant une déduction de 15 % sur ce revenu, l’intimé est resté dans les limites de son pouvoir d’appréciation. Il y a donc lieu de procéder au même abattement, ce qui porte le revenu d’invalide à 29'916 fr. La comparaison des revenus aboutit à un degré d’invalidité de 31.1 %. Si ce calcul est légèrement défavorable à la recourante par rapport à celui de l'intimé, cette modification n’a pas d’incidence concrète sur sa situation dès lors que les deux degrés d'invalidité auxquels ils aboutissent sont, quoiqu'il en soit, insuffisants pour ouvrir le droit à une rente d'invalidité dès le mois de février 2008. En revanche, ils donnent en principe droit à des mesures de réadaptation, pour lesquelles le seuil minimum fixé par la jurisprudence est une diminution de la capacité de gain de 20 % environ (ATF 124 V 108 consid. 2b et les références). De telles mesures ont cependant déjà été octroyées à la recourante et ont permis de définir les activités que celle-ci pourrait exercer, si bien qu'il n'y a pas lieu d'en accorder de nouvelles. 10. S’agissant de la durée de versement de la rente, il sied encore de rappeler que la décision par laquelle l'assurance-invalidité accorde une rente d'invalidité avec effet rétroactif et, en même temps, prévoit la suppression de cette rente correspond à une décision de révision au sens de l'art. 17 LPGA (ATF 9C_575/2008 du 29 août 2008, consid. 4). Il y a donc lieu d'appliquer l'art. 88a al. 1 du règlement sur l'assurance-</w:t>
      </w:r>
    </w:p>
    <w:p>
      <w:r>
        <w:t>A/1654/2011 - 18/19 - invalidité (RAI; RS 831.201), qui dispose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Partant, ce n'est que trois mois après l'amélioration constatée que s'éteint le droit à la rente. En l’espèce, il n’est pas contesté que la capacité de travail de la recourante était nulle de février 2005 à novembre 2007, soit trois mois après l’arthroscopie réalisée par le Dr E__________. L’intimé ayant octroyé une rente entière à la recourante jusqu’au 31 janvier 2008, soit trois mois après la possible reprise d’une activité lucrative, sa décision doit également être confirmée sur ce point. 11. Eu égard à ce qui précède, le recours sera rejeté. La procédure n'étant pas gratuite en matière d'assurance-invalidité (art. 69 al. 1bis LAI), le recourant sera astreint au paiement d'un émolument de 200 fr.</w:t>
      </w:r>
    </w:p>
    <w:p>
      <w:r>
        <w:t>A/1654/2011 - 19/19 -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