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ATAS/103/2010 vom 3. Februar 2010</w:t>
      </w:r>
    </w:p>
    <w:p>
      <w:r>
        <w:t>GE Cour de justice, 2010-02-03, FR</w:t>
      </w:r>
    </w:p>
    <w:p>
      <w:r>
        <w:rPr>
          <w:b/>
        </w:rPr>
        <w:t xml:space="preserve">Quelle: </w:t>
      </w:r>
      <w:r>
        <w:t>https://mcp.opencaselaw.ch/entscheid/ge_gerichte_ATAS_103_2010</w:t>
      </w:r>
    </w:p>
    <w:p>
      <w:r>
        <w:t>FR: GE_GERICHTE ATAS/103/2010 du 3 février 2010</w:t>
      </w:r>
    </w:p>
    <w:p>
      <w:r>
        <w:t>IT: GE_GERICHTE ATAS/103/2010 del 3 febbraio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d’espère est ainsi établie.</w:t>
      </w:r>
    </w:p>
    <w:p>
      <w:r>
        <w:rPr>
          <w:b/>
        </w:rPr>
        <w:t>E. 2</w:t>
      </w:r>
    </w:p>
    <w:p>
      <w:r>
        <w:t>Interjeté dans les forme et délai légaux (art. 56 à 60 LPGA), le recours est recevable.</w:t>
      </w:r>
    </w:p>
    <w:p>
      <w:r>
        <w:rPr>
          <w:b/>
        </w:rPr>
        <w:t>E. 3</w:t>
      </w:r>
    </w:p>
    <w:p>
      <w:r>
        <w:t>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normalement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 RAMA 1998 KV 37 p. 316 consid. 3b).</w:t>
      </w:r>
    </w:p>
    <w:p>
      <w:r>
        <w:t>A/4005/2008 - 9/14 - b) Le présent cas est soumis au nouveau droit, dès lors que le recours de droit administratif a été formé après le 1er juillet 2006 (ch. II let. c des dispositions transitoires relatives à la modification du 16 décembre 2005).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(cf. ATF 129 cité ci-dessus et les références). Cela étant, s’agissant tant de l’évaluation de l’invalidité que des principes régissant l’examen des révisions et des nouvelles demandes de prestations suite à un refus, cette novelle n’a pas apporté de modifications substantielles (cf. notamment Message concernant la modification de la loi fédérale sur l’assurance-invalidité [5ème révision], du 22 juin 2005, FF 2005 4215, p. 4322). Enfin, les nouvelles dispositions sont applicables en ce qui concerne les éventuelles mesures d’ordre professionnel, la décision entreprise étant postérieure à l’entrée en vigueur de la 5ème révision.</w:t>
      </w:r>
    </w:p>
    <w:p>
      <w:r>
        <w:rPr>
          <w:b/>
        </w:rPr>
        <w:t>E. 4</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rPr>
          <w:b/>
        </w:rPr>
        <w:t>E. 5</w:t>
      </w:r>
    </w:p>
    <w:p>
      <w:r>
        <w:t>En l’espèce, dans la mesure où l’intimé se réfère, dans son mémoire de recours, à l’art. 87 al. 4 RAI, il y a lieu d’examiner s’il s’est limité à un refus d’entrer en</w:t>
      </w:r>
    </w:p>
    <w:p>
      <w:r>
        <w:t>A/4005/2008 - 10/14 - matière. Tel n’est cependant manifestement pas le cas. En effet, l’office intimé n’a non seulement pas rendu de décision de refus d’entrer en matière, mais une décision de refus de prestations. Quand bien même pareil intitulé pourrait être l’objet d’une interprétation au vu du contenu somme toute succinct de l’acte administratif, il n’en demeure pas moins que l’intimé a requis des rapports médicaux auprès des médecins de la recourante et ne s’est pas contenté d’examiner les allégations de cette dernière. Dans ces circonstances, il y a lieu de considérer que l’intimé est entré en matière sur la nouvelle demande de prestations.</w:t>
      </w:r>
    </w:p>
    <w:p>
      <w:r>
        <w:rPr>
          <w:b/>
        </w:rPr>
        <w:t>E. 6</w:t>
      </w:r>
    </w:p>
    <w:p>
      <w:r>
        <w:t>Le litige porte sur le droit de la recourante à une rente d’invalidité. Il s’agit singulièrement de déterminer si les circonstances régnant au moment de la décision querellée ont subi un changement important par rapport à celles prévalant à la date de la décision de refus de prestations entrée en force. a) A cet égard, on rappellera qu’est réputée invalidité l’incapacité de gain totale ou partielle présumée permanente ou de longue durée, résultant d’infirmité congénitale, d’une maladie ou d’un accident (art. 8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 quarts de rente s’il est invalide à 60 % au moins, à une demi- rente s’il est invalide à 50 % au moins ou à un quart de rente s’il est invalide à 40 % au moins. b) Selon l’art. 17 LPGA, si le taux d’invalidité du bénéficiaire de la rente subit une modification notable, la rente est, d’office ou sur demande, révisée pour l’avenir, à savoir augmentée ou réduite en conséquence ou encore supprimée. Cela vaut</w:t>
      </w:r>
    </w:p>
    <w:p>
      <w:r>
        <w:t>A/4005/2008 - 11/14 -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et les circonstances régnant à l’époque de la décision litigieuse (ATF 130 V 351 consid. 3.5.2, 125 V 369 consid. 2 notamment).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w:t>
      </w:r>
    </w:p>
    <w:p>
      <w:r>
        <w:rPr>
          <w:b/>
        </w:rPr>
        <w:t>E. 7</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encore 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soit claire et enfin que les conclusions de l’expert soient dûment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Il n’y</w:t>
      </w:r>
    </w:p>
    <w:p>
      <w:r>
        <w:t>A/4005/2008 - 12/14 -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à son patient.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droits des assurances sociales, il y a lieu toutefois de poser des exigences sévères quant à l’impartialité de l’expert (ATF 125 V 353 consid. 3b/ee).</w:t>
      </w:r>
    </w:p>
    <w:p>
      <w:r>
        <w:rPr>
          <w:b/>
        </w:rPr>
        <w:t>E. 8</w:t>
      </w:r>
    </w:p>
    <w:p>
      <w:r>
        <w:t>Dans le cas présent, la recourante reproche implicitement à l’administration d’avoir mal évalué les circonstances prévalant au moment de la décision litigieuse. Elle soutient notamment que celle-ci aurait procédé à une appréciation erronée de sa capacité de travail en écartant, à tort, l’avis de son psychiatre traitant au profit de celui du docteur P________. D’après elle, le rapport de ce médecin est ancien et ne saurait refléter la situation actuelle, décrite par le docteur S________, dans la mesure où il ne prend pas en considération la péjoration de l’état de santé. L’argumentation de la recourante ne saurait toutefois être suivie. Certes, le docteur S________ fait mention d’un nouveau diagnostic psychiatrique sous la forme de troubles bipolaires, mais ce dernier (qui vient remplacer un diagnostic de trouble dépressif récurrent), n’est nullement étayé et n’est confirmé par aucun autre document au dossier. Bien au contraire, le médecin appuie sa conclusion sur une symptomatologie connue de longue date et sur laquelle l’expert P________ s’était prononcé en 2004. Il convient également de considérer l’appréciation de la capacité de travail faite par le psychiatre traitant avec toute la circonspection requise, dans la mesure où ce dernier est peut-être encore plus enclin que le médecin de famille proprement dit à suivre les indications données par son patient, tant la relation de confiance est importante entre un tel thérapeute et son patient, relation sans laquelle il n’y a justement pas de possibilité thérapeutique. Quant aux rapports d’hospitalisation en division de psychiatrie, force est de reconnaître qu’ils ne mentionnent nullement une problématique autre que des pics transitoires de l’humeur dépressive. Il y a bien eu des tentatives de suicides, mais cela n’a pas empêché les médecins concernés de ne garder l’intéressée que quelques jours, voire moins d’une journée, au sein de leur service et de ne relater qu’un diagnostic d’état</w:t>
      </w:r>
    </w:p>
    <w:p>
      <w:r>
        <w:t>A/4005/2008 - 13/14 - dépressif majeur somme toute modéré, puisqu’un épisode de gravité moyenne (et non sévère) a été retenu. On ajoutera encore que le docteur S________ parle d’incapacité de travail totale à compter de 2003, ce qui est non seulement contradictoire avec les faits (la recourante a travaillé une année en tant qu’aide de bureau à l’office des poursuites durant les années 2006 et 2007), mais encore avec son propre raisonnement aux termes duquel la situation s’est aggravée à un point tel qu’à compter du début du suivi assuré par ses soins, l’assurée n’était plus en mesure d’assumer une activité professionnelle. Pareille conclusion pourrait également être considérée comme une contestation des conclusions auxquelles étaient parvenus le docteur P________ et l’intimé lors du refus initial de prestations en 2004, mais il constituerait alors une appréciation divergente d’un même état de fait ; or, une interprétation de ce type n’est pas susceptible de conduire à une révision du droit à la rente. Quant aux conséquences de l’affection cardiaque, elles se sont révélées inchangées de l’avis du médecin questionné. Enfin, l’accident ischémique transitoire survenu au mois d’avril 2009 n’est pas de nature à modifier l’appréciation, puisqu’il ne s’agit pas d’une affection agissant durablement sur la capacité de travail. Même en cas contraire, le Tribunal de céans ne saurait en tenir compte, puisqu’il est intervenu postérieurement à la décision attaquée. Il suit de ce qui précède qu’il convient de constater, à l’instar de l’intimé, l’absence d’évolution notable de la situation de santé de la recourante, au sens où l’entend la jurisprudence dans le cadre de l’examen d’une révision, respectivement d’une nouvelle demande de prestations. C’est donc à juste titre que l’administration a rejeté la demande de l’intéressée.</w:t>
      </w:r>
    </w:p>
    <w:p>
      <w:r>
        <w:rPr>
          <w:b/>
        </w:rPr>
        <w:t>E. 9</w:t>
      </w:r>
    </w:p>
    <w:p>
      <w:r>
        <w:t>La recourante, qui succombe, supportera un émolument de justice présentement fixé à 200 fr.</w:t>
      </w:r>
    </w:p>
    <w:p>
      <w:r>
        <w:t>A/4005/2008 - 14/14 -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