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ATAS/103/2009 vom 29. Januar 2009</w:t>
      </w:r>
    </w:p>
    <w:p>
      <w:r>
        <w:t>GE Cour de justice, 2009-01-29, FR</w:t>
      </w:r>
    </w:p>
    <w:p>
      <w:r>
        <w:rPr>
          <w:b/>
        </w:rPr>
        <w:t xml:space="preserve">Quelle: </w:t>
      </w:r>
      <w:r>
        <w:t>https://mcp.opencaselaw.ch/entscheid/ge_gerichte_ATAS_103_2009</w:t>
      </w:r>
    </w:p>
    <w:p>
      <w:r>
        <w:t>FR: GE_GERICHTE ATAS/103/2009 du 29 janvier 2009</w:t>
      </w:r>
    </w:p>
    <w:p>
      <w:r>
        <w:t>IT: GE_GERICHTE ATAS/103/2009 del 29 gennaio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par pli postal du 4 juillet 2008, le recours contre la décision de l’OCAI du</w:t>
      </w:r>
    </w:p>
    <w:p>
      <w:r>
        <w:rPr>
          <w:b/>
        </w:rPr>
        <w:t>E. 4</w:t>
      </w:r>
    </w:p>
    <w:p>
      <w:r>
        <w:t>Le litige porte sur l’existence d’une atteinte à la santé du recourant, à caractère invalidante.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à celui qu’il pourrait obtenir en exerçant l’activité qui peut raisonnablement être exigé de lui après les traitements et les mesures de réadaptation, sur un marché du travail équilibré (art. 16 LPGA et 28 al. 2 LAI).</w:t>
      </w:r>
    </w:p>
    <w:p>
      <w:r>
        <w:rPr>
          <w:b/>
        </w:rPr>
        <w:t>E. 6</w:t>
      </w:r>
    </w:p>
    <w:p>
      <w:r>
        <w:t>juillet 2007, U 316/2006, consid. 3.1.1).</w:t>
      </w:r>
    </w:p>
    <w:p>
      <w:r>
        <w:rPr>
          <w:b/>
        </w:rPr>
        <w:t>E. 7</w:t>
      </w:r>
    </w:p>
    <w:p>
      <w:r>
        <w:t>En vertu,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D'après la jurisprudence (ATF 131 V 49 consid. 1.2), la reconnaissance de l'existence d'une atteinte à la santé psychique, suppose d'abord la présence d'un diagnostic émanant d'un expert (psychiatre) et s'appuyant lege artis sur les critères d'un système de classification reconnu (ATF 130 V 398 ss consid. 5.3 et consid. 6).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(ATAS 132/2007 du 16 janvier 2007). Quant au médecin traitant, le juge peut et doit tenir compte du fait que selon l’expérience, le médecin traitant est généralement enclin, en cas de doute, à prendre parti pour son patient en raison de la relation de confiance qui l’unit à ce dernier (ATF 125 V 353, consid. 3b/cc et les références).</w:t>
      </w:r>
    </w:p>
    <w:p>
      <w:r>
        <w:rPr>
          <w:b/>
        </w:rPr>
        <w:t>E. 8</w:t>
      </w:r>
    </w:p>
    <w:p>
      <w:r>
        <w:t>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w:t>
      </w:r>
    </w:p>
    <w:p>
      <w:r>
        <w:t>A/2450/2008 - 7/9 - doivent normalement faire l'objet d'une nouvelle décision administrative (ATF 121 V 366 consid. 1b et la référence).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ATFA du 18 juillet 2005, I 321/04, consid. 5).</w:t>
      </w:r>
    </w:p>
    <w:p>
      <w:r>
        <w:rPr>
          <w:b/>
        </w:rPr>
        <w:t>E. 9</w:t>
      </w:r>
    </w:p>
    <w:p>
      <w:r>
        <w:t>Le juge qui estime que les faits ne sont pas suffisamment élucidés a en principe le choix entre deux solutions: soit renvoyer la cause à l'administration pour complément d'instruction, soit procéder lui-même à une telle instruction complémentaire (DTA 2001 p. 169).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10</w:t>
      </w:r>
    </w:p>
    <w:p>
      <w:r>
        <w:t>En l’espèce, le Tribunal relève que la décision entreprise se fonde sur l’avis médical du Dr B_________ dont le contenu est le suivant : « Le courrier complémentaire du Dr A_________ ne fournit aucun élément médical évocateur d’une atteinte invalidante ». Cett avis, au demeurant fort bref, est dépourvu de toute explication, ne se fonde sur aucun examen clinique et ne contient pas non plus d’anamnèse. La spécialité du Dr B_________ n’y est pas mentionnée. Il s’en suit, que cet avis ne saurait être pris en compte. Par ailleurs, lorsque l’OCAI prend sa décision sur la base de l’absence de fourniture d’éléments évocateurs d’une atteinte invalidante par un médecin, il viole l’art. 43 LPGA. A teneur de cette disposition, il lui appartient en effet, comme rappelé plus haut, d’élucider l’état de fait au moyen de mesures d’instruction appropriées. Or, il apparaît qu’aucune autre mesure d’instruction qu’une demande au médecin traitant n’a été mise en œuvre par l’autorité intimée. Au vu des éléments fournis par le médecin traitant, certes insuffisants, il lui appartenait d’établir quelles étaient les limitations fonctionnelles liés aux différentes affections du recourant, notamment l’obésité morbide. De surcroît, les affirmations du Dr A_________ sur le plan psychiatrique et tout particulièrement au sujet de la cause de l’absence de prise en charge du recourant sur ce plan devaient manifestement conduire l’autorité intimée à établir les faits médicaux pertinents y relatifs. L’avis du Dr B_________ du</w:t>
      </w:r>
    </w:p>
    <w:p>
      <w:r>
        <w:t>A/2450/2008 - 8/9 - 9 novembre 2007 était d’ailleurs conforme à ce qui précède. Le Tribunal ne s’explique pas pour quel motif l’autorité intimée n’a pas poursuivi dans cette voie. En l’absence de tout élément permettant de se déterminer quant à l’existence d’une invalidité, en particulier en l’absence de tout élément relatif aux éventuelles limitations fonctionnelles du recourant, il n’est pas possible de prendre une décision quant à l’existence d’une invalidité de ce dernier. Les avis des Dr D_________ et A_________, dont il sera tenu compte, dans la mesure où ils se rapportent à un état médical du recourant inchangé depuis la décision litigieuse, mettent en lumière un certain nombre de limitations fonctionnelles. Toutefois, il ressort notamment de l’avis du Dr E_________ du 29 septembre 2008 que les limitations énoncées ne sont pas exhaustives, puisqu’il indique que l’on peut imaginer que les lésions arthrosiques des genoux entraînent des douleurs handicapantes. D’un autre côté, l’on ignore si les limitations décrites sont durables, de même que leur évolution probable. Par ailleurs, il convient d’évaluer médicalement l’incapacité de travail et/ou la diminution de rendement engendrées par ces limitations tant dans l’activité habituelle, que, cas échéant, dans une activité adaptée à définir, avant de procéder à la comparaison des revenus. A ce sujet, il sera également relevé qu’aucune investigation n’a été menée, compte tenu du statut d’indépendant du recourant, afin de permettre de déterminer la méthode de comparaison des revenu (ordinaire ou extraordinaire) à utiliser. Les faits ayant été établis de façon sommaire, il se justifie de renvoyer le dossier à l’autorité intimée afin qu’elle instruise le dossier de manière complète, conformément aux considérants qui précèdent, avant de rendre une nouvelle décision. Cette solution a également l’avantage de ne pas priver le recourant d’un degré de juridiction.</w:t>
      </w:r>
    </w:p>
    <w:p>
      <w:r>
        <w:rPr>
          <w:b/>
        </w:rPr>
        <w:t>E. 11</w:t>
      </w:r>
    </w:p>
    <w:p>
      <w:r>
        <w:t>Le recours sera ainsi admis, la décision litigieuse annulée et le dossier renvoyé à l’OCAI pour instruction complémentaire dans le sens des considérants et nouvelle décision.</w:t>
      </w:r>
    </w:p>
    <w:p>
      <w:r>
        <w:rPr>
          <w:b/>
        </w:rPr>
        <w:t>E. 12</w:t>
      </w:r>
    </w:p>
    <w:p>
      <w:r>
        <w:t>Le recourant obtenant gain de cause, une indemnité de 1'000 fr. lui est octroyée, à titre de dépens.</w:t>
      </w:r>
    </w:p>
    <w:p>
      <w:r>
        <w:rPr>
          <w:b/>
        </w:rPr>
        <w:t>E. 13</w:t>
      </w:r>
    </w:p>
    <w:p>
      <w:r>
        <w:t>Un émolument de 500 fr. est mis à charge de l’intimé, qui succombe (art. 69 al. 1bis LAI)</w:t>
      </w:r>
    </w:p>
    <w:p>
      <w:r>
        <w:t>A/2450/2008 - 9/9 -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