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ATAS/1039/2020 vom 3. November 2020</w:t>
      </w:r>
    </w:p>
    <w:p>
      <w:r>
        <w:t>GE Cour de justice, 2020-11-03, FR</w:t>
      </w:r>
    </w:p>
    <w:p>
      <w:r>
        <w:rPr>
          <w:b/>
        </w:rPr>
        <w:t xml:space="preserve">Quelle: </w:t>
      </w:r>
      <w:r>
        <w:t>https://mcp.opencaselaw.ch/entscheid/ge_gerichte_ATAS_1039_2020</w:t>
      </w:r>
    </w:p>
    <w:p>
      <w:r>
        <w:t>FR: GE_GERICHTE ATAS/1039/2020 du 3 novembre 2020</w:t>
      </w:r>
    </w:p>
    <w:p>
      <w:r>
        <w:t>IT: GE_GERICHTE ATAS/1039/2020 del 3 novembre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dans les forme et délai prévus par la loi (art. 56ss LPGA), est recevable.</w:t>
      </w:r>
    </w:p>
    <w:p>
      <w:r>
        <w:rPr>
          <w:b/>
        </w:rPr>
        <w:t>E. 3</w:t>
      </w:r>
    </w:p>
    <w:p>
      <w:r>
        <w:t>Le litige porte sur le point de savoir si l’intimée était fondée à mettre un terme au versement des indemnités journalières au 5 avril 2019.</w:t>
      </w:r>
    </w:p>
    <w:p>
      <w:r>
        <w:rPr>
          <w:b/>
        </w:rPr>
        <w:t>E. 4</w:t>
      </w:r>
    </w:p>
    <w:p>
      <w:r>
        <w:t>Les prestations que l’assureur-accidents doit cas échéant prendre en charge comprennent le traitement médical approprié des lésions résultant de l’accident (art. 10 al. 1 LAA).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t>A/3096/2019 - 11/17 -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5</w:t>
      </w:r>
    </w:p>
    <w:p>
      <w:r>
        <w:t>La notion d’incapacité de travail, à laquelle renvoie l’art. 16 al. 1 LAA comme condition du droit à l’indemnité journalière, est définie à l’art. 6 1ère phrase LPGA.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durable dans l’ancienne profession, l’assuré est tenu, en vertu de son devoir de diminuer le dommage, d’utiliser dans un autre secteur sa capacité fonctionnelle résiduelle. À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 Markus SCHMID in HÜRZELER / KIESER [éd.], Kommentar zum schweizerischen Sozial-versicherungsrecht, UVG, 2018, n. 11 ad art. 16 LAA). Le droit aux indemnités journalières cesse toutefois au plus tard lors de la stabilisation de l’état médical (Philipp GEERTSEN in HÜRZELER / KIESER [éd.], UVG, Bundesgesetz über die Unfallversicherung, 2018, n. 18 ad art. 19 UVG).</w:t>
      </w:r>
    </w:p>
    <w:p>
      <w:r>
        <w:rPr>
          <w:b/>
        </w:rPr>
        <w:t>E. 6</w:t>
      </w:r>
    </w:p>
    <w:p>
      <w:r>
        <w:t>La loi ne précise pas ce qu’il faut entendre par « une sensible amélioration de l’état de l’assuré » (art. 19 al. 1 LAA).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w:t>
      </w:r>
    </w:p>
    <w:p>
      <w:r>
        <w:t>A/3096/2019 - 12/17 - Des troubles chroniques ne font pas obstacle à la reconnaissance d’un état de santé par ailleurs stationnaire (arrêt du Tribunal fédéral 8C_734/2014 du 23 novembre 2015 consid. 4.2). Dans le cas d’un assuré qui avait refusé de subir une arthrodèse de la cheville et auquel les médecins n’avaient pas proposé d’autre traitement, le Tribunal fédéral a confirmé que c’était à juste titre que l’assurance-accidents avait conclu à un état stabilisé (arrêt du Tribunal fédéral 8C_247/2018 du 1er avril 2019 consid. 5.3).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Sans remettre en cause le principe de la libre appréciation des preuves, le Tribunal fédéral a posé des lignes directrices en ce qui concerne la manière d’apprécier</w:t>
      </w:r>
    </w:p>
    <w:p>
      <w:r>
        <w:t>A/3096/2019 - 13/17 -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septembre 2020 ; cf. supra EN FAIT consid. 33). c. Eu égard à l’ensemble des éléments qui précèdent, la chambre de céans est d’avis qu’il n’existe aucun indice permettant de douter de la fiabilité des conclusions du médecin d’arrondissement de l’intimée. Il est donc établi, au degré de la vraisemblance prépondérante, que la recourante disposait d’une pleine et entière capacité de travail dans son activité habituelle dès le 5 avril 2019, sans diminution de rendement, de sorte que la décision sur opposition du 26 juin 2019 n’est pas critiquable.</w:t>
      </w:r>
    </w:p>
    <w:p>
      <w:r>
        <w:rPr>
          <w:b/>
        </w:rPr>
        <w:t>E. 9</w:t>
      </w:r>
    </w:p>
    <w:p>
      <w:r>
        <w:t>Au vu de ce qui précède, le recours est rejeté. Pour le surplus, la procédure est gratuite (art. 61 let. a LPGA). * * * * * *</w:t>
      </w:r>
    </w:p>
    <w:p>
      <w:r>
        <w:t>A/3096/2019 - 17/17 -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