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ATAS/1039/2019 vom 12. November 2019</w:t>
      </w:r>
    </w:p>
    <w:p>
      <w:r>
        <w:t>GE Cour de justice, 2019-11-12, FR</w:t>
      </w:r>
    </w:p>
    <w:p>
      <w:r>
        <w:rPr>
          <w:b/>
        </w:rPr>
        <w:t xml:space="preserve">Quelle: </w:t>
      </w:r>
      <w:r>
        <w:t>https://mcp.opencaselaw.ch/entscheid/ge_gerichte_ATAS_1039_2019</w:t>
      </w:r>
    </w:p>
    <w:p>
      <w:r>
        <w:t>FR: GE_GERICHTE ATAS/1039/2019 du 12 novembre 2019</w:t>
      </w:r>
    </w:p>
    <w:p>
      <w:r>
        <w:t>IT: GE_GERICHTE ATAS/1039/2019 del 12 novembre 2019</w:t>
      </w:r>
    </w:p>
    <w:p>
      <w:pPr>
        <w:pStyle w:val="Heading2"/>
      </w:pPr>
      <w:r>
        <w:t>Erwägungen</w:t>
      </w:r>
    </w:p>
    <w:p>
      <w:r>
        <w:rPr>
          <w:b/>
        </w:rPr>
        <w:t>E. 27</w:t>
      </w:r>
    </w:p>
    <w:p>
      <w:r>
        <w:t>mars 2018 et l’événement du 22 août 2011 était possible sans plus. Il était également possible, sans plus, avec l’événement du 3 décembre 2012. 35. Par arrêt incident du 29 juillet 2019 (ATAS/677/2019), la chambre de céans a confirmé le retrait de l’effet suspensif de recours, hormis en tant qu’il portait sur l’obligation de restituer les indemnités journalières versées à hauteur de CHF 27'160.-, et a réservé la suite de la procédure. 36. Dans sa réplique du 8 août 2019, le recourant a persisté dans ses conclusions. Il a allégué que c’était à tort que les Drs F______ et G______ affirmaient que le problème essentiel de son genou droit était l'état précaire du cartilage. Il sollicitait l’audition du Dr B______ sur ce point. Les Drs F______ et G______ avaient mentionné la confusion du dossier et l’absence du rapport opératoire du 4 juillet 2012. La structure lésée, soit la corne postérieure du ménisque interne, était celle dont le traitement avait été pris en charge à l’époque par l’intimée. 37. Par écriture du 29 août 2019, l’intimée a renoncé au dépôt d’une duplique.</w:t>
      </w:r>
    </w:p>
    <w:p>
      <w:r>
        <w:t>A/1272/2019 - 9/15 - 38. La chambre de céans a transmis copie de cette écriture au recourant le</w:t>
      </w:r>
    </w:p>
    <w:p>
      <w:r>
        <w:rPr>
          <w:b/>
        </w:rPr>
        <w:t>E. 30</w:t>
      </w:r>
    </w:p>
    <w:p>
      <w:r>
        <w:t>août 2019.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les forme et délai prévus par la loi (art. 56ss LPGA), le recours est recevable. 3. Le litige porte sur le droit du recourant à des prestations pour accident en lien avec les troubles du genou qu’il présente depuis le 27 mars 2018, et dans la négative sur son obligation de restituer les indemnités journalières versées par l’intimé. 4.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Le droit aux prestations suppose notamment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 sur l'accident assuré doit être nié (ATF 129 V 177 consid. 3.1 ; arrêt du Tribunal fédéral des assurances U 239/05 du 31 mai 2006 consid. 2.1). La preuve de la disparition du lien de causalité naturelle ne doit pas être apportée par la preuve de facteurs étrangers à l'accident. Il est encore moins question d'exiger de l'assureur-accidents la preuve négative qu'aucune atteinte à la santé ne subsiste ou que la personne assurée est</w:t>
      </w:r>
    </w:p>
    <w:p>
      <w:r>
        <w:t>A/1272/2019 - 10/15 - dorénavant en parfaite santé (arrêt du Tribunal fédéral 8C_463/2009 du 23 novembre 2009 consid. 3).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 arrêt du Tribunal fédéral 8C_628/2007 du 22 octobre 2008 consid. 5.1), au point que le dommage puisse encore équitablement être mis à la charge de l'assurance-accidents, eu égard aux objectifs poursuivis par la loi (arrêt du Tribunal fédéral 8C_336/2008 du 5 décembre 2008 consid. 3.1). En tant que principe répondant à la nécessité de fixer une limite raisonnable à la responsabilité de l'assureur-accidents social, la causalité adéquate n'a toutefois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 arrêt du Tribunal fédéral 8C_694/2007 du 3 juillet 2008 consid. 4.1). 5. Aux termes de l'art. 11 de l'ordonnance sur l'assurance-accidents (OLAA – RS 832.202), les prestations d’assurance sont également versées en cas de rechutes et de séquelles tardives ; les bénéficiaires de rentes d’invalidité doivent toutefois remplir les conditions posées à l’art. 21 de la loi.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 arrêt du Tribunal fédéral 8C_1023/2008 du 1er décembre 2009 consid. 5.3). En cas de rechute, l'obligation de l'assureur-accidents de répondre de la nouvelle atteinte à la santé n'est pas donnée du seul fait que l'existence d'un lien de causalité naturelle entre l'atteinte initiale et un accident a été reconnue. C'est ici l'occasion de rappeler que le simple fait que des symptômes surviennent après un accident ne suffit pas à établir qu'ils en sont la conséquence. Admettre un lien de causalité dans un tel cas reviendrait en effet à se fonder sur l'adage post hoc ergo propter hoc, lequel ne suffit pas à établir l'existence de ce lien (ATF 119 V 335 consid. 2b/bb). 6. Celui qui prétend des prestations de l'assurance-accidents doit apporter la preuve, selon la vraisemblance prépondérante, que les conditions de l'accident sont réunies, donc également que l'accident constitue la cause naturelle de l'atteinte à la santé (arrêt du Tribunal fédéral des assurances U 354/05 du 13 juin 2006 consid. 4.1). À cet égard, la jurisprudence considère que plus le temps écoulé entre l'accident et la manifestation de l'affection est long, plus les exigences quant à la preuve – au degré</w:t>
      </w:r>
    </w:p>
    <w:p>
      <w:r>
        <w:t>A/1272/2019 - 11/15 - de la vraisemblance prépondérante – du rapport de causalité naturelle doivent être sévères (RAMA 1997 n°U 275 p. 191 consid. 1c ; arrêt du Tribunal fédéral des assurances U 250/04 du 3 mai 2005 consid. 1.2). Les conséquences de l'absence de preuve d'un tel lien entre la nouvelle atteinte et l'accident doivent être supportées par l'assuré qui requiert des prestations de l'assurance-accidents pour ladite atteinte (arrêts du Tribunal fédéral des assurances U 192/06 du 10 avril 2007 consid. 3.3 et U 50/99 du 28 juin 2001 consid. 3a). Cette règle de preuve ne s'applique toutefois que s'il n'est pas possible, dans les limites du principe inquisitoire, d'établir sur la base d'une appréciation des preuves un état de fait qui correspond, au degré de la vraisemblance prépondérante, à la réalité (ATF 117 V 261 consid. 3b ; arrêt du Tribunal fédéral 9C_632/2012 du 10 janvier 2013 consid. 6.2.1). En effet,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du Tribunal fédéral 9C_1012/2008 du 30 juin 2009 consid. 3.2.1). 7. Sans remettre en cause le principe de la libre appréciation des preuves, le Tribunal fédéral a posé des lignes directrices en ce qui concerne la manière d’apprécier certains types d’expertises ou de rapports médicaux.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w:t>
      </w:r>
    </w:p>
    <w:p>
      <w:r>
        <w:t>A/1272/2019 - 12/15 - p. 346 consid. 3d). La jurisprudence a posé le principe que le seul fait que les médecins de l'assurance sont employés de celle-ci ne permet pas de conclure à l'existence d'une prévention et d'un manque d'objectivité. Si un cas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Il résulte de ce qui précède que les rapports des médecins employés de l'assurance sont à prendre en considération tant qu'il n'existe aucun doute, même minime, sur l'exactitude de leurs conclusions (arrêt du Tribunal fédéral 8C_429/2014 du 23 mars 2015 consid. 4.2 et les références). En cas de doute, il convient d'ordonner une expertise par un médecin externe à l’assurance si des doutes, mêmes faibles, subsistent quant à la fiabilité et à la pertinence des constatations médicales effectuées à l'interne (ATF 135 V 465 consid. 4). 8. En l’espèce, force est de constater que la motivation de la décision de l’intimée du 23 octobre 2018 est pour le moins lacunaire. Sur le fond, on notera que l’avis initial du Dr E______ du 9 octobre 2018, ayant fondé la négation du droit aux prestations, a été contredit par les indications de ce même médecin datées du lendemain. Ces deux avis consistent chacun en une phrase apposée sur un formulaire, sans aucune motivation. À l’évidence, ils ne suffisent pas à confirmer ou infirmer au degré de la vraisemblance prépondérante le droit du recourant à des prestations. Il est du reste surprenant que ce médecin ait opéré une telle volte-face sans s’en expliquer, même succinctement. Quant à la prise de position du Dr E______ du 23 janvier 2019, ayant conduit l’intimée à rejeter l’opposition, elle se fonde sur des différences alléguées entre les interventions consécutives respectivement à l’événement du 22 août 2011 – qui ne constituait pas un accident selon la décision entrée en force de l’intimée – et à l’accident de décembre 2012. Le Dr E______ affirme en effet que la première traitait avant tout des fissures cartilagineuses alors que la seconde portait sur le ménisque. Or, les lésions révélées par l’IRM de septembre 2011 évoquent tant une déchirure du ménisque qu’une fissure cartilagineuse. Tel est également le cas de l’IRM réalisée dans les suites de l’accident de décembre 2012. L’IRM du 4 octobre 2018 a également mis en évidence une délamination du cartilage et la persistance d’un aspect fissuraire du ménisque. Selon le rapport opératoire de janvier 2013, les gestes chirurgicaux ont porté tant sur les structures méniscales que cartilagineuses, puisqu’ils impliquaient notamment une chondroplastie et une résection de flaps cartilagineux. Par ailleurs, ni le compte-rendu opératoire de l’arthroscopie consécutive à l’événement non pris en charge d’août 2011, ni celui de novembre 2018 ne figurent au dossier constitué par l’intimée, et le Dr E______ admet lui-même ignorer le projet thérapeutique en 2018. Cela démontre d’une part que l’avis de ce médecin n’a pas été émis après étude du dossier complet. D’autre part, dans ces circonstances et en l’absence de toute autre motivation, on comprend</w:t>
      </w:r>
    </w:p>
    <w:p>
      <w:r>
        <w:t>A/1272/2019 - 13/15 - mal à quels éléments objectifs le Dr E______ se réfère pour conclure à une évolution et une intervention essentiellement liée aux problèmes de cartilage, ce qui permettrait de rattacher selon lui les troubles du genou à un événement non pris en charge par l’intimée. Il ne peut en particulier pas tirer argument de l’intervention liée au sinistre 11.39057.12.7, qui concerne en réalité le genou gauche et non le genou droit du recourant. Partant, l’avis du médecin d’arrondissement n’emporte pas la conviction. L’appréciation des Drs F______ et G______ ne suffit pas à pallier les carences du rapport précité du Dr E______. D’une part, ils admettent que la progression des lésions dégénératives du genou est favorisée par les deux interventions pratiquées au genou – soit également celle dont la prise en charge incombe à l’intimée. D’autre part, ils n’ont pas non plus eu accès à l’ensemble du dossier, puisqu’ils ne disposaient notamment pas du rapport opératoire de juillet 2012, ni de celui relatif à la chondroplastie que le recourant a subie dans le passé selon le Dr B______ – si tant est qu’il s’agit d’une intervention distincte de celle de juillet 2012, ce que la lecture du dossier ne permet pas de déterminer. Ainsi, à l’instar de la prise de position du Dr E______, l’avis des Drs F______ et G______ ne se fonde pas non plus sur l’étude du dossier complet du recourant, ce qui suffit à nier sa valeur probante. Il est du reste significatif que ces médecins aient souligné l’« ambivalence » et la confusion du dossier orthopédique du recourant. 9. Compte tenu de ce qui précède, la chambre de céans ne dispose pas des éléments nécessaires pour trancher le litige. Lorsque le juge constate qu'une expertise est nécessaire, il doit en principe la mettre en œuvre lui-même. Un renvoi à l'administration reste cependant possible lorsqu'il est justifié par l'examen d'un point qui n'a pas du tout été investigué (ATF 137 V 210 consid. 4.4.1.3 et 4.4.1.4). Tel est le cas en l'espèce, puisque l'intimée n'a pas procédé à une instruction dans les règles de l’art, se contentant d’avis émis sur la base de l’étude d’un dossier incomplet. Il lui appartiendra ainsi de compléter l’instruction en rassemblant l’ensemble du dossier médical du recourant, puis en diligentant une expertise, qu’elle confiera à un spécialiste en chirurgie orthopédique désigné dans le respect des exigences jurisprudentielles en matière de droit d’être entendu (ATF 137 V 210 consid. 3.2.4.6 et 3.2.4.9). Elle devra ensuite rendre une nouvelle décision sur la base des conclusions de ladite expertise. Eu égard à l’issue du litige, la chambre de céans ne mettra pas en œuvre les mesures probatoires requises par le recourant, par appréciation anticipée des preuves (ATF 130 II 425 consid. 2.1), 10. Le recours est partiellement admis.</w:t>
      </w:r>
    </w:p>
    <w:p>
      <w:r>
        <w:t>A/1272/2019 - 14/15 - Le recourant a droit à une indemnité de procédure, qui sera fixée à CHF 2'000.- (art. 61 let. g LPGA). Pour le surplus, la procédure est gratuite (art. 61 let. a LPGA). * * * * * *</w:t>
      </w:r>
    </w:p>
    <w:p>
      <w:r>
        <w:t>A/1272/2019 - 15/15 -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