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ATAS/1039/2016 vom 13. Dezember 2016</w:t>
      </w:r>
    </w:p>
    <w:p>
      <w:r>
        <w:t>GE Cour de justice, 2016-12-13, FR</w:t>
      </w:r>
    </w:p>
    <w:p>
      <w:r>
        <w:rPr>
          <w:b/>
        </w:rPr>
        <w:t xml:space="preserve">Quelle: </w:t>
      </w:r>
      <w:r>
        <w:t>https://mcp.opencaselaw.ch/entscheid/ge_gerichte_ATAS_1039_2016</w:t>
      </w:r>
    </w:p>
    <w:p>
      <w:r>
        <w:t>FR: GE_GERICHTE ATAS/1039/2016 du 13 décembre 2016</w:t>
      </w:r>
    </w:p>
    <w:p>
      <w:r>
        <w:t>IT: GE_GERICHTE ATAS/1039/2016 del 13 dicembre 2016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En conséquence, le recours est partiellement admis, la décision litigieuse annulée et le dossier renvoyé à l’OAI afin qu’il procède conformément aux considérants.</w:t>
      </w:r>
    </w:p>
    <w:p>
      <w:r>
        <w:rPr>
          <w:b/>
        </w:rPr>
        <w:t>E. 18</w:t>
      </w:r>
    </w:p>
    <w:p>
      <w:r>
        <w:t>L’assurée, qui n’est pas représentée, n’a pas droit à des dépens. La procédure de recours en matière de contestations portant sur l’octroi ou le refus de prestations de l’assurance-invalidité étant soumise à des frais de justice (art. 69 al. 1bis LAI ; art. 89H al. 4 LPA) depuis le 1er juillet 2006, au vu du sort du recours, il y a lieu de condamner l’OAI au paiement d'un émolument de CHF 200.-.</w:t>
      </w:r>
    </w:p>
    <w:p>
      <w:r>
        <w:t>A/965/2016 - 22/22 -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