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ATAS/1038/2025 vom 22. Dezember 2025</w:t>
      </w:r>
    </w:p>
    <w:p>
      <w:r>
        <w:t>GE Cour de justice, 2025-12-22, FR</w:t>
      </w:r>
    </w:p>
    <w:p>
      <w:r>
        <w:rPr>
          <w:b/>
        </w:rPr>
        <w:t xml:space="preserve">Quelle: </w:t>
      </w:r>
      <w:r>
        <w:t>https://mcp.opencaselaw.ch/entscheid/ge_gerichte_ATAS_1038_2025</w:t>
      </w:r>
    </w:p>
    <w:p>
      <w:r>
        <w:t>FR: GE_GERICHTE ATAS/1038/2025 du 22 décembre 2025</w:t>
      </w:r>
    </w:p>
    <w:p>
      <w:r>
        <w:t>IT: GE_GERICHTE ATAS/1038/2025 del 22 dicembre 2025</w:t>
      </w:r>
    </w:p>
    <w:p>
      <w:pPr>
        <w:pStyle w:val="Heading2"/>
      </w:pPr>
      <w:r>
        <w:t>Erwägungen</w:t>
      </w:r>
    </w:p>
    <w:p>
      <w:r>
        <w:rPr>
          <w:b/>
        </w:rPr>
        <w:t>E. 22</w:t>
      </w:r>
    </w:p>
    <w:p>
      <w:r>
        <w:t>ss de la loi fédérale sur le libre passage dans la prévoyance professionnelle vieillesse, survivants et invalidité du 17 décembre 1993 (loi sur le libre passage, LFLP - RS 831.42) ; Que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 ; Que 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LPP, soit à Genève, la chambre des assurances sociales de la Cour de justice, exécute d’office, après que l’affaire lui a été transmise (art. 281 al. 3 CPC), le partage sur la base de la clé de répartition déterminée par le juge du divorce ; Que selon l’art. 25a al. 1 in fine LFLP, s’il s’agit d’une action en complément d’un jugement de divorce étranger, le lieu de l’action en complément est considéré comme lieu du divorce (art. 64 de la loi fédérale sur le droit international privé du 18 décembre 1987 [LDIP - RS 291]). Que selon l'art. 22 LFLP (dans sa teneur en vigueur depuis le 1er janvier 2017), en cas de divorce, les prestations de sortie et les parts de rente sont partagées conformément aux art. 122 à 124e CC et 280 et 281 CPC ; les art. 3 à 5 LFLP s'appliquent par analogie au montant à transférer ; qu’à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w:t>
      </w:r>
    </w:p>
    <w:p>
      <w:r>
        <w:t>A/2139/2025 4/5 au moment de la conclusion du mariage ; que pour ce calcul, on ajoute à la prestation de sortie et à l'avoir de libre passage existant au moment de la conclusion du mariage les intérêts dus au jour de l'introduction de la procédure de divorce ; que les paiements en espèces et les versements en capital effectués durant le mariage ne sont pas pris en compte ; Attendu qu’en l’espèce, dans le cadre de l’exequatur du jugement rendu par The Family Court in England, HM Courts &amp; Tribunals Service, le juge de première instance a ordonné le partage par moitié des prestations de sortie acquises durant le mariage par les demandeurs ; que les dates pertinentes sont, d’une part, celle du mariage, le 28 juin 2014, d’autre part le 2 août 2024, date à laquelle The Family Court in England, HM Courts &amp; Tribunals Service, a prononcé le divorce des époux A______ B______ ; Que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 RS 831.441.1) ou selon le taux réglementaire, si celui-ci est supérieur (ATF 129 V 255 consid. 3) ; Que dans le cas d’espèce, les demandeurs se sont entendus sur le montant exact faisant l’objet du partage, de telle sorte que la question des intérêts compensatoires ne se pose pas ; Qu’aucun émolument ne sera perçu, la procédure étant gratuite (art. 73 al. 2 LPP et 89H al. 1 de la loi sur la procédure administrative du 12 septembre 1985 [LPA - E 5 10]). ***</w:t>
      </w:r>
    </w:p>
    <w:p>
      <w:r>
        <w:t>A/2139/2025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