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ATAS/1038/2022 vom 28. November 2022</w:t>
      </w:r>
    </w:p>
    <w:p>
      <w:r>
        <w:t>GE Cour de justice, 2022-11-28, FR</w:t>
      </w:r>
    </w:p>
    <w:p>
      <w:r>
        <w:rPr>
          <w:b/>
        </w:rPr>
        <w:t xml:space="preserve">Quelle: </w:t>
      </w:r>
      <w:r>
        <w:t>https://mcp.opencaselaw.ch/entscheid/ge_gerichte_ATAS_1038_2022</w:t>
      </w:r>
    </w:p>
    <w:p>
      <w:r>
        <w:t>FR: GE_GERICHTE ATAS/1038/2022 du 28 novembre 2022</w:t>
      </w:r>
    </w:p>
    <w:p>
      <w:r>
        <w:t>IT: GE_GERICHTE ATAS/1038/2022 del 28 novembre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A/3120/2022 ATAS/1038/2022 COUR DE JUSTICE Chambre des assurances sociales Arrêt du 28 novembre 2022 3ème Chambre</w:t>
      </w:r>
    </w:p>
    <w:p>
      <w:r>
        <w:t>En la cause Docteur A______, domicilié à GENEVE</w:t>
      </w:r>
    </w:p>
    <w:p>
      <w:r>
        <w:t>recourant</w:t>
      </w:r>
    </w:p>
    <w:p>
      <w:r>
        <w:t>contre CAISSE CANTONALE GENEVOISE DE COMPENSATION, Service juridique, sise Rue des Gares 12, GENEVE</w:t>
      </w:r>
    </w:p>
    <w:p>
      <w:r>
        <w:t>intimée</w:t>
      </w:r>
    </w:p>
    <w:p>
      <w:r>
        <w:t>A/3120/2022 - 2/2 -</w:t>
      </w:r>
    </w:p>
    <w:p>
      <w:r>
        <w:t>ATTENDU que, par décision du 1er septembre 2022, la caisse cantonale genevoise de compensation (ci-après la caisse) a fixé le montant dû à titre de taxe de formation professionnelle 2022 par le docteur A______ (ci-après l’assuré) à CHF 93.- (CHF 31.- x 3 employés [effectif en décembre 2020]) ; Que le 25 septembre 2022, l’assuré a interjeté recours auprès de la Cour de céans ; Qu’invitée à se déterminer, l’intimée, dans sa réponse du 10 octobre 2022, a conclu au rejet du recours ; Qu’invité à indiquer à la Cour de céans s’il maintenait son recours, l’assuré, convoqué en audience, a indiqué par courrier du 22 novembre 2022 qu’il ne souhaitait finalement pas « donner de suite judiciaire » à la décision de la caisse ; Qu’il convient d’en prendre acte et de rayer la cause du rôle.</w:t>
      </w:r>
    </w:p>
    <w:p>
      <w:r>
        <w:t>***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