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ATAS/1038/2018 vom 8. November 2018</w:t>
      </w:r>
    </w:p>
    <w:p>
      <w:r>
        <w:t>GE Cour de justice, 2018-11-08, FR</w:t>
      </w:r>
    </w:p>
    <w:p>
      <w:r>
        <w:rPr>
          <w:b/>
        </w:rPr>
        <w:t xml:space="preserve">Quelle: </w:t>
      </w:r>
      <w:r>
        <w:t>https://mcp.opencaselaw.ch/entscheid/ge_gerichte_ATAS_1038_2018</w:t>
      </w:r>
    </w:p>
    <w:p>
      <w:r>
        <w:t>FR: GE_GERICHTE ATAS/1038/2018 du 8 novembre 2018</w:t>
      </w:r>
    </w:p>
    <w:p>
      <w:r>
        <w:t>IT: GE_GERICHTE ATAS/1038/2018 del 8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la Cour de céans (art. 52, 58 et 61 let. a LPGA).</w:t>
      </w:r>
    </w:p>
    <w:p>
      <w:r>
        <w:rPr>
          <w:b/>
        </w:rPr>
        <w:t>E. 3</w:t>
      </w:r>
    </w:p>
    <w:p>
      <w:r>
        <w:t>Le recours interjeté respectant les forme et délai prévus par la loi (art. 56 à 60 LPGA), il y a lieu de le déclarer recevable.</w:t>
      </w:r>
    </w:p>
    <w:p>
      <w:r>
        <w:t>A/840/2017 - 11/15 -</w:t>
      </w:r>
    </w:p>
    <w:p>
      <w:r>
        <w:rPr>
          <w:b/>
        </w:rPr>
        <w:t>E. 4</w:t>
      </w:r>
    </w:p>
    <w:p>
      <w:r>
        <w:t>Est litigieuse en l'espèce la réduction, à compter de janvier 2015, à un trois-quarts de rente de la rente entière d'invalidité versée au recourant. Singulièrement, il convient d'examiner si les conditions d'une révision du droit à la rente sont présentement remplies.</w:t>
      </w:r>
    </w:p>
    <w:p>
      <w:r>
        <w:rPr>
          <w:b/>
        </w:rPr>
        <w:t>E. 5</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6</w:t>
      </w:r>
    </w:p>
    <w:p>
      <w:r>
        <w:t>a) Selon la jurisprudence, le bien-fondé d'une décision d'octroi, à titre rétroactif, d'une rente limitée dans le temps doit être examiné à la lumière des conditions de révision du droit à la rente (ATF 125 V 413 consid. 2d p. 418 et les références).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 L'art. 17 LPGA n'a pas apporté de modification aux principes jurisprudentiels développés sous le régime de l'ancien art. 41 LAI, en vigueur jusqu'au 31 décembre 2002 (ATF 130 V 343 consid. 3.5).</w:t>
      </w:r>
    </w:p>
    <w:p>
      <w:r>
        <w:rPr>
          <w:b/>
        </w:rPr>
        <w:t>E. 7</w:t>
      </w:r>
    </w:p>
    <w:p>
      <w:r>
        <w:t>En l'espèce, l’intimé s’est fondé sur les conclusions de l’expertise pluridisciplinaire de la CRR pour retenir qu’à compter d’octobre 2014, l’assuré avait recouvré une</w:t>
      </w:r>
    </w:p>
    <w:p>
      <w:r>
        <w:t>A/840/2017 - 12/15 - capacité de 50% dans une activité adaptée, ce que l’intéressé conteste, alléguant qu’aucune amélioration de son état de santé n’est survenue. Il convient en premier lieu d’examiner la valeur probante de l’expertise de la CRR, contestée par le recourant. Contrairement à ce que soutient l’intéressé, cette expertise emporte la conviction. Formellement, elle remplit toutes les exigences jurisprudentielles. Elle est en effet fondée sur une documentation complète et des diagnostics précis, comporte une discussion convaincante des diagnostics posés et apporte des réponses exhaustives et sans équivoque aux questions posées. Qui plus est, elle est détaillée, compréhensible et concluante. Sur le fond, les médecins ne font certes état d’aucune amélioration de santé en octobre 2014. On peut cependant conclure de la lecture de l’ensemble du rapport que s’ils ont retenu cette date, c’est parce qu’elle est postérieure à la fin des investigations en cours, que ce soit sur le plan ophtalmologique ou neurologique (la dernière IRM cérébrale remonte à septembre 2014). Ainsi que cela a été rappelé supra, la rente peut être révisée non seulement en cas de modification sensible de l'état de santé, mais aussi lorsque celui-ci est resté en soi le même, mais que ses conséquences sur la capacité de gain ont subi un changement important. On peut considérer qu’aux yeux des experts, tel a été le cas : l’assuré a recouvré une capacité résiduelle de travail une fois les investigations médicales et l’opération ophtalmologique menées à leur terme. Les conclusions des experts quant à une capacité de travail de 50% dans une activité adaptée sont d’autant plus convaincantes qu’elles sont corroborées par le Dr N_____, psychiatre traitant, dont l’avis est prépondérant, étant rappelé que le Dr H_____ a convenu que les atteintes psychiques étaient au premier plan. Certes, le médecin traitant conclut pour sa part à une totale incapacité de travail, mais sans la justifier outre mesure, si ce n’est par les atteintes psychiques, dont le spécialiste considère pourtant qu’elles laissent subsister une capacité de travail résiduelle. Il ressort de ce qui précède qu’il n’y a aucune raison objective de s’écarter de la conclusion selon laquelle, depuis octobre 2014 à tout le moins, le recourant a disposé d’une capacité de travail de 50% dans une activité adaptée. Et si l’on devait nier l’absence de modification en termes de conséquences sur la capacité de gain en octobre 2014, pourrait alors se poser la question de savoir si cette capacité résiduelle de gain n’a pas été présente depuis bien avant la date retenue par les experts.</w:t>
      </w:r>
    </w:p>
    <w:p>
      <w:r>
        <w:rPr>
          <w:b/>
        </w:rPr>
        <w:t>E. 8</w:t>
      </w:r>
    </w:p>
    <w:p>
      <w:r>
        <w:t>Se pose dès lors la question du calcul du degré d’invalidité. En premier lieu, le recourant soulève une erreur de calcul en arguant que le revenu d’invalide aurait dû être fixé à CHF 32'190.- et non à CHF 33'256.-. Ce à quoi l’intimé répond qu’il n’a pas commis d’erreur de calcul, mais qu’il a simplement omis de mentionner l’indexation à laquelle a été soumis le revenu d’invalide.</w:t>
      </w:r>
    </w:p>
    <w:p>
      <w:r>
        <w:t>A/840/2017 - 13/15 - Du calcul détaillé figurant en pièce 107 intimé, il ressort que le revenu avant invalidité - soit CHF 75'842.- -, non contesté, a été comparé à celui de CHF 29'930.-, établi comme suit : l’intimé a retenu le revenu mensuel que pourrait théoriquement réaliser un homme selon l’ESS 2014 (T1), soit CHF 5'365.-, qu’il a augmenté à CHF 5'593.- pour tenir compte d’un horaire hebdomadaire de travail de 41,7 heures, ce qui l’a conduit à un revenu annuel de CHF 67'116.- en 2014, qu’il a réévalué à CHF 66'512.- selon l’indice suisse nominal des salaires pour 2015. À 50%, cela correspond effectivement à un revenu annuel de CHF 33'256.-. Si l’on applique une réduction de 10%, cela conduit à un revenu de CHF 29'930.- qui, comparé au revenu avant invalidité, donne un degré d’invalidité de 60.54%. Ainsi que le fait remarquer à juste titre l’intimé, l’application de la réduction maximale de 25% ne conduirait au mieux qu’à un degré d’invalidité de 67.11%, insuffisant pour ouvrir droit à une rente entière. Il ressort de ce qui précède que le calcul du degré d’invalidité a été effectué correctement et doit être confirmé. Ce grief est donc rejeté.</w:t>
      </w:r>
    </w:p>
    <w:p>
      <w:r>
        <w:rPr>
          <w:b/>
        </w:rPr>
        <w:t>E. 9</w:t>
      </w:r>
    </w:p>
    <w:p>
      <w:r>
        <w:t>Reste à examiner si l’on peut exiger du recourant, au vu de son âge et de ses atteintes, qu’il puisse réellement mettre en valeur la capacité de travail résiduelle qui lui a été reconnue.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377/98 du 28 juillet 1999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9C_716/2014 du 19 février 2015 consid. 4.1 ; 9C_695/2010 du 15 mars 2011 consid. 5 et les arrêts cités).</w:t>
      </w:r>
    </w:p>
    <w:p>
      <w:r>
        <w:t>A/840/2017 - 14/15 -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 arrêt 9C_716/2014, déjà cité, consid. 4.2). En l’occurrence, le moment déterminant est donc octobre 2014, date à laquelle le recourant était âgé de 59 ans et 9 mois. Le Tribunal fédéral a estimé qu’un assuré, âgé de 58 ans lors de l'ouverture éventuelle du droit, respectivement de 60 ans au moment de la décision litigieuse, n'avait pas atteint le seuil à partir duquel la jurisprudence considère généralement qu'il n'existe plus de possibilité réaliste d'exploiter la capacité résiduelle de travail sur un marché du travail supposé équilibré (cf. arrêts 9C_695/2010 du 15 mars 2011, 9C_1043/2008 du 2 juillet 2009 consid. 3.3, 9C_651/2008 du 9 octobre 2009 consid. 6.2.2.2). À l'instar de l'assuré ayant fait l'objet de cette jurisprudence, le recourant n'a pas atteint le seuil à partir duquel on peut admettre qu'il n'aurait plus la possibilité de réintégrer le marché du travail. Quant aux limitations fonctionnelles décrites par les experts de la CRR, on ne saurait conclure qu'elles excluent toute activité. On peut effectivement regretter que l'intimé n'ait mentionné aucune activité exigible au cours de l'instruction. Il n'en demeure pas moins que la jurisprudence considère qu'au vu du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À titre d'exemples, on peut citer les activités de surveillant de machines, gardien de parking ou ouvrier d'usine, accessibles à l’assuré en dépit de ses capacités d’adaptation restreintes. Il ressort des considérations qui précèdent que le recours, mal fondé, doit être rejeté.</w:t>
      </w:r>
    </w:p>
    <w:p>
      <w:r>
        <w:t>A/840/2017 - 15/15 -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