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ATAS/1038/2008 vom 23. September 2008</w:t>
      </w:r>
    </w:p>
    <w:p>
      <w:r>
        <w:t>GE Cour de justice, 2008-09-23, FR</w:t>
      </w:r>
    </w:p>
    <w:p>
      <w:r>
        <w:rPr>
          <w:b/>
        </w:rPr>
        <w:t xml:space="preserve">Quelle: </w:t>
      </w:r>
      <w:r>
        <w:t>https://mcp.opencaselaw.ch/entscheid/ge_gerichte_ATAS_1038_2008</w:t>
      </w:r>
    </w:p>
    <w:p>
      <w:r>
        <w:t>FR: GE_GERICHTE ATAS/1038/2008 du 23 septembre 2008</w:t>
      </w:r>
    </w:p>
    <w:p>
      <w:r>
        <w:t>IT: GE_GERICHTE ATAS/1038/2008 del 23 settembre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des modifications législatives notamment dans le droit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Ces principes de droit intertemporel commandent ainsi l'examen du bien-fondé de la décision sur</w:t>
      </w:r>
    </w:p>
    <w:p>
      <w:r>
        <w:t>A/1565/2006 - 9/17 - opposition du 11 janvier 2006 à la lumière des anciennes dispositions de la LAA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est applicable sans réserve dès le jour de son entrée en vigueur (ATF 117 V 93 consid. 6b; 112 V 360 consid. 4a; RAMA 1998 KV 37 p. 316 consid. 3b).</w:t>
      </w:r>
    </w:p>
    <w:p>
      <w:r>
        <w:rPr>
          <w:b/>
        </w:rPr>
        <w:t>E. 3</w:t>
      </w:r>
    </w:p>
    <w:p>
      <w:r>
        <w:t>L’art. 106 LAA prévoyait, dans sa teneur en vigueur jusqu'au 31 décembre 2006, qu’en dérogation à l’art. 60 LPGA, le délai de recours était de trois mois pour les décisions sur opposition portant sur les prestations d’assurance-accidents. La décision sur opposition étant intervenue le 11 janvier 2006, le recours, interjeté le 9 mars 2006, est dès lors recevable.</w:t>
      </w:r>
    </w:p>
    <w:p>
      <w:r>
        <w:rPr>
          <w:b/>
        </w:rPr>
        <w:t>E. 4</w:t>
      </w:r>
    </w:p>
    <w:p>
      <w:r>
        <w:t>Est litigieuse la question de savoir à quel taux de rente d'invalidité a droit la recourante ensuite de son accident de juillet 2001, et à quel pourcentage d'IPAI elle peut prétendre.</w:t>
      </w:r>
    </w:p>
    <w:p>
      <w:r>
        <w:rPr>
          <w:b/>
        </w:rPr>
        <w:t>E. 5</w:t>
      </w:r>
    </w:p>
    <w:p>
      <w:r>
        <w:t>a)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En ce qui concerne la coordination des taux d'invalidité entre les différentes branches de l'assurance sociale (ATF 126 V 288), l'assurance-accidents n'est pas liée par l'évaluation à laquelle a procédé l'Office cantonal de l'assurance-invalidité, lorsque l'assuré souffre d'affections d'origine maladive qui n'engagent pas la responsabilité de l'assureur-accidents. b)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w:t>
      </w:r>
    </w:p>
    <w:p>
      <w:r>
        <w:t>A/1565/2006 - 10/17 - des situations que l'on peut, objectivement, qualifier de quotidiens ou d'habituels (ATF 129 V 404 consid. 2.1; 122 V 233 consid. 1; 121 V 38 consid. 1a et les références).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w:t>
      </w:r>
    </w:p>
    <w:p>
      <w:r>
        <w:t>A/1565/2006 - 11/17 -</w:t>
      </w:r>
    </w:p>
    <w:p>
      <w:r>
        <w:t>c) Selon l'art. 18 LAA, dans sa teneur en vigueur depuis le 1er janvier 2003, si l'assuré est invalide à 10% au moins par suite d'un accident, il a droit à une rente d'invalidité (al.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LAA).</w:t>
      </w:r>
    </w:p>
    <w:p>
      <w:r>
        <w:t>Aux termes de l’art. 19 LAA, le droit à la rente prend naissance dès qu’il n’y a plus lieu d’attendre de la continuation du traitement médical une sensible amélioration de l’état de l’assuré et que les éventuelles mesures de réadaptation de l’assurance- invalidité ont été menées à terme. La rente est allouée pour tout le mois au cours duquel ledit droit est né. d) Si par suite de l'accident, l'assuré souffre d'une atteinte importante et durable à son intégrité physique ou mentale, il a droit à une indemnité équitable pour atteinte à l'intégrité (art. 24 al. 1 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(GILD et ZOLLINGER, Die Integritätentschädigung nach dem Bundesgesetz über die Unfallversicherung, Berne 1984, pp. 38 et 46; dans le même sens, MAURER, Schweizerisches Unfallversicherungsrecht, Berne 1985, p. 417; RUMO-JUNGO, MURER, Bundesgesetz über die Unfallversicherung, Zurich 1991, ad art. 25 al. 1, p. 104).</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w:t>
      </w:r>
    </w:p>
    <w:p>
      <w:r>
        <w:t>A/1565/2006 - 12/17 -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ou l'administration. Cette jurisprudence s’applique aussi bien lorsqu’un assuré entend remettre en cause, au moyen d’une expertise privée, les conclusions d’une expertise aménagée par l’assureur-accidents ou par un office de l'assurance-invalidité (ATF 125 V 351; ATFA du 29 octobre 2003, I 321/03 consid. 3.1).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w:t>
      </w:r>
    </w:p>
    <w:p>
      <w:r>
        <w:t>A/1565/2006 - 13/17 -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7</w:t>
      </w:r>
    </w:p>
    <w:p>
      <w:r>
        <w:t>Il sied tout d'abord de relever que la décision de l'OCAI par laquelle il rejette la demande de prestations de la recourante est basée uniquement sur l'expertise du Dr S__________. En effet, ce n'est qu'en procédure fédérale que la recourante a produit le rapport d'expertise du Dr Q__________, rapport qui n'a pas pu être pris en compte devant le Tribunal fédéral, puisqu'il constituait un élément nouveau inadmissible dans le cadre de l'art. 105 al. 2 de la loi fédérale d'organisation judicaire (OJ). Or tel n'est pas le cas ici, puisque c'est en procédure cantonale que la recourante avait produit le rapport d'expertise du Dr T__________ que le Tribunal de céans doit par conséquent prendre en considération. Ainsi, deux expertises figurent au dossier, l'une conduite par un spécialiste en chirurgie orthopédique, l'autre par un spécialiste en rhumatologie. Elles ont toutes deux valeur probante au regard de la jurisprudence fédérale en la matière. Cependant, ces expertises ont des conclusions contradictoires, puisque le Dr U__________ ne s'explique pas la discordance totale qui existe entre les plaintes</w:t>
      </w:r>
    </w:p>
    <w:p>
      <w:r>
        <w:t>A/1565/2006 - 14/17 - subjectives formulées par la recourante, plaintes très lourdes d'un état invalidé et de douleurs permanentes et ses trouvailles cliniques et radiologiques au niveau du genou gauche, qui ne présente ni amyotrophie ni augmentation de la chaleur locale. Cet expert ne trouve aucune explication aux plaintes émises par l'assurée et il estime la capacité de travail de la recourante totale, sans diminution de rendement, dans un travail adapté en position assise. Le Dr Q__________ constate en revanche deux ans après le premier expert que son examen confirme une atteinte notoire clinique du genou gauche, contrairement au Dr U__________ qui ne constatait ni limitation ni amyotrophie périarticulaire du genou gauche. Selon le Dr Q__________, la clinique actuelle de la patiente est le plus vraisemblablement en rapport direct avec les nombreuses lésions arthrosiques et préarthrosiques objectivées par les divers examens radiologiques et arthroscopiques. La patiente lui semblait parfaitement collaborante et l'expert n'a noté aucun signe de non- organicité dans le sens d'une simulation ou d'une démonstration. L'impotence du genou gauche était accompagnée de limitations fonctionnelles objectivables, non seulement pour la mobilité active mais également pour la mobilité passive. D'autre part, une amyotrophie indubitable s'était installée au niveau des quadriceps du côté gauche. Un syndrome rotulien très marqué était de surcroît apparu et confirmé par une subluxation externe de la rotule gauche nettement plus marquée que sur les clichés effectués par le Dr U__________ lors de son expertise. Le Dr Q__________ a encore relevé qu'il était bien connu qu'il n'existait pas de corrélation radio-clinique linéaire et qu'une arthrose avancée pouvait être cliniquement muette ou réciproquement qu'une arthrose débutante (légère chez la recourante) pouvait être hyperdouloureuse. Chez la patiente, l'on se trouvait déjà dans le cercle vicieux d'un syndrome douloureux chronique. L'assurée présentait par ailleurs une certaine décompensation lombaire et de la hanche gauche sous forme de lombalgies et de périarthrite, due à sa boiterie, avec syndrome du muscle pyramidal à caractère intermittent. Selon cet expert, seule une activité adaptée, pouvant être effectuée en position assise avec possibilité de mobiliser le genou gauche par intermittence, pourrait être assurée à 50% soit à mi-temps à plein rendement ou à un tiers temps à 75% de rendement. Au vu de ce qui précède, le Tribunal de céans se trouve confronté à deux expertises - ayant valeur probante - aux conclusions divergentes. Il n'est ainsi en l'état pas en mesure de trancher entre l'une et l'autre et de déterminer la capacité résiduelle de travail de la recourante dans une activité adaptée. Il constate par ailleurs qu'aucun des deux experts ne s'est prononcé sur le lien de causalité naturelle entre les atteintes actuelles de la recourante et son accident de juillet 2001. Or, cette question doit être examinée dans le cadre de l'assurance-accidents, particulièrement en présence de lésions arthrosiques et de syndrome douloureux chronique. Il confiera dès lors une surexpertise judiciaire à un médecin spécialiste en chirurgie orthopédique, qui devra notamment poser des diagnostics clairs, expliquer pourquoi il s'écarte ou rejoint les conclusions des experts précédents, se prononcer sur le lien</w:t>
      </w:r>
    </w:p>
    <w:p>
      <w:r>
        <w:t>A/1565/2006 - 15/17 - de causalité naturelle entre les atteintes actuelles et l'accident, déterminer le degré de capacité de travail résiduelle de la recourante, quelles activités sont adaptées à ses limitations fonctionnelles.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