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ATAS/1037/2025 vom 22. Dezember 2025</w:t>
      </w:r>
    </w:p>
    <w:p>
      <w:r>
        <w:t>GE Cour de justice, 2025-12-22, FR</w:t>
      </w:r>
    </w:p>
    <w:p>
      <w:r>
        <w:rPr>
          <w:b/>
        </w:rPr>
        <w:t xml:space="preserve">Quelle: </w:t>
      </w:r>
      <w:r>
        <w:t>https://mcp.opencaselaw.ch/entscheid/ge_gerichte_ATAS_1037_2025</w:t>
      </w:r>
    </w:p>
    <w:p>
      <w:r>
        <w:t>FR: GE_GERICHTE ATAS/1037/2025 du 22 décembre 2025</w:t>
      </w:r>
    </w:p>
    <w:p>
      <w:r>
        <w:t>IT: GE_GERICHTE ATAS/1037/2025 del 22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2</w:t>
      </w:r>
    </w:p>
    <w:p>
      <w:r>
        <w:t>Le litige porte sur le bien-fondé de la décision de l’intimé d’octroyer au recourant une rente d’invalidité entière (100%) à compter du 1er février 2025 seulement, dans le cadre de la troisième demande de prestations déposée par l’intéressé en septembre 2020.</w:t>
      </w:r>
    </w:p>
    <w:p>
      <w:r>
        <w:rPr>
          <w:b/>
        </w:rPr>
        <w:t>E. 3</w:t>
      </w:r>
    </w:p>
    <w:p>
      <w:r>
        <w:t>novembre 2021 sont entrées en vigueur (développement continu de l’AI ; RO 2021 705 et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postérieurement au 1er janvier 2022, de sorte que les dispositions légales applicables seront citées dans leur nouvelle teneur.</w:t>
      </w:r>
    </w:p>
    <w:p>
      <w:r>
        <w:rPr>
          <w:b/>
        </w:rPr>
        <w:t>E. 3.1</w:t>
      </w:r>
    </w:p>
    <w:p>
      <w:r>
        <w:t>Par renvoi de l’art. 1 al. 1 LAI, les dispositions de la LPGA s'appliquent à l'assurance-invalidité, à moins que la loi n'y déroge expressément.</w:t>
      </w:r>
    </w:p>
    <w:p>
      <w:r>
        <w:rPr>
          <w:b/>
        </w:rPr>
        <w:t>E. 3.2</w:t>
      </w:r>
    </w:p>
    <w:p>
      <w:r>
        <w:t>Le 1er janvier 2022, les modifications de la LAI du 19 juin 2020 et du règlement sur l’assurance-invalidité du 17 janvier 1961 (RAI ‑ RS 831.201) du</w:t>
      </w:r>
    </w:p>
    <w:p>
      <w:r>
        <w:rPr>
          <w:b/>
        </w:rPr>
        <w:t>E. 3.3</w:t>
      </w:r>
    </w:p>
    <w:p>
      <w:r>
        <w:t>Lorsque l’administration entre en matière sur une nouvelle demande, après avoir nié le droit à une prestation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w:t>
      </w:r>
    </w:p>
    <w:p>
      <w:r>
        <w:t>A/1813/2025 - 12/21 -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w:t>
      </w:r>
    </w:p>
    <w:p>
      <w:r>
        <w:rPr>
          <w:b/>
        </w:rPr>
        <w:t>E. 3.4</w:t>
      </w:r>
    </w:p>
    <w:p>
      <w:r>
        <w:t>L’art. 17 al. 1 LPGA dispose que la rente d'invalidité est, d'office ou sur demande, révisée pour l'avenir, à savoir augmentée, réduite ou supprimée, lorsque le taux d'invalidité de l'assuré : subit une modification d'au moins 5 points de pourcentage, ou atteint 100%. Tout changement important des circonstances propre à influencer le degré d’invalidité, et donc le droit à la rente, peut motiver une révision selon l’art. 17 LPGA (ATF 149 V 91 consid. 7.5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rPr>
          <w:b/>
        </w:rPr>
        <w:t>E. 3.5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3.6</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Selon la jurisprudence, la période de carence d’une année peut courir dès que l'assuré subit un taux d'incapacité de travail de l'ordre de 20% (arrêt du Tribunal fédéral I 179/01 du 10 décembre 2001 consid. 3a et la référence).</w:t>
      </w:r>
    </w:p>
    <w:p>
      <w:r>
        <w:t>A/1813/2025 - 13/21 - Lorsque le droit à la rente a été refusé en raison d'un degré d'invalidité insuffisant et qu'il y a par la suite une aggravation de l'état de santé, il s'agit alors d'un nouveau cas d'assurance, de sorte que le délai de carence d’une année recommence à courir (ATF 142 V 547 consid. 3.1 et la référence). En effet, l’art. 29bis RAI, qui prévoit la prise en compte des délais d’attente antérieurement accomplis en cas de réapparition de l’invalidité due à la même affection, n’est pas applicable dans cette configuration (arrêt du Tribunal fédéral 9C_942/2015 du 18 février 2016 consid. 3.3.3 et les références).</w:t>
      </w:r>
    </w:p>
    <w:p>
      <w:r>
        <w:rPr>
          <w:b/>
        </w:rPr>
        <w:t>E. 3.7</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w:t>
      </w:r>
    </w:p>
    <w:p>
      <w:r>
        <w:t>A/1813/2025 - 14/21 - formation spécialisée nécessaire et de compétences professionnelles dans le domaine d’investigation (arrêt du Tribunal fédéral 9C_555/2017 du 22 novembre 2017 consid. 3.1 et les références).</w:t>
      </w:r>
    </w:p>
    <w:p>
      <w:r>
        <w:rPr>
          <w:b/>
        </w:rPr>
        <w:t>E. 4.3</w:t>
      </w:r>
    </w:p>
    <w:p>
      <w:r>
        <w:t>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w:t>
      </w:r>
    </w:p>
    <w:p>
      <w:r>
        <w:t>A/1813/2025 - 15/21 -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w:t>
      </w:r>
    </w:p>
    <w:p>
      <w:r>
        <w:t>A/1813/2025 - 16/21 -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w:t>
      </w:r>
    </w:p>
    <w:p>
      <w:r>
        <w:t>En l’espèce, il convient d’examiner si la décision litigieuse de l’intimé est conforme aux principes qui précèdent. On rappellera que la chambre de céans a déjà retenu dans son arrêt du 13 avril 2023, entré en force, que dans le cadre de l’examen de la troisième demande de prestations du recourant réceptionnée le 11 septembre 2020 par l’intimé, la décision du 7 mai 2018 rejetant la première demande de prestations constitue le point de comparaison déterminant pour apprécier si une aggravation de l’état de santé, propre à influencer le degré d’invalidité de l’intéressé, est survenue (ATAS/319/2023 consid. 4.3).</w:t>
      </w:r>
    </w:p>
    <w:p>
      <w:r>
        <w:rPr>
          <w:b/>
        </w:rPr>
        <w:t>E. 7.1</w:t>
      </w:r>
    </w:p>
    <w:p>
      <w:r>
        <w:t>Dans sa décision litigieuse, l'intimé a retenu que le recourant présente, à compter du 19 février 2024, une nouvelle incapacité de travail durable dans son activité habituelle et dans toute activité adaptée. L’intimé s’est fondé sur l’avis du SMR du 24 septembre 2024, selon lequel le recourant présente, en raison d’une cirrhose avec insuffisance hépathocellulaire, une nouvelle incapacité de travail durable dans son activité habituelle et dans une activité adaptée à compter du 19 février 2024. Pour la période antérieure, en raison de ses atteintes orthopédiques, sa capacité de travail était nulle depuis février 2016, mais entière dans une activité adaptée depuis le 3 mai 2019, comme l’avait retenu la Dre H______. Le recourant fait valoir que son incapacité de travail dans toute activité remonterait au-delà du 19 février 2024.</w:t>
      </w:r>
    </w:p>
    <w:p>
      <w:r>
        <w:rPr>
          <w:b/>
        </w:rPr>
        <w:t>E. 7.2</w:t>
      </w:r>
    </w:p>
    <w:p>
      <w:r>
        <w:t>Il sied, tout d’abord, d’examiner la valeur probante de l’expertise orthopédique mandatée par l’intimé. Par rapport du 14 mai 2024, la Dre H______ a diagnostiqué un status post- ligamentoplastie LCA du genou droit, une gonarthrose débutante du genou droit, une bursite à l’épaule droite et des lombalgies chroniques. Sur le plan orthopédique, la capacité de travail du recourant était nulle depuis le 16 février 2016, mais totale dans une activité adaptée sur le plan théorique depuis le 3 mai 2019.</w:t>
      </w:r>
    </w:p>
    <w:p>
      <w:r>
        <w:t>A/1813/2025 - 17/21 - Force est tout d’abord de constater que, sur le plan formel, le rapport de la Dre H______ répond aux réquisits jurisprudentiels en matière de valeur probante. Il contient, en effet, le résumé du dossier, une anamnèse, les indications subjectives du recourant, notamment ses plaintes, des observations cliniques, ainsi qu'une évaluation médicale. Ses conclusions, qui résultent d'une analyse complète de la situation médicale du recourant, sont claires et bien motivées. On relèvera en outre que quand bien même la Dre H______ a retenu que la capacité de travail de l’intéressé dans une activité adaptée continuait à être entière depuis le 3 mai 2019, il n’en demeure pas moins que contrairement à ce que fait valoir le recourant, cette spécialiste a dûment pris en considération les événements survenus ultérieurement à cette date, soit notamment les accidents survenus les 24 juin et 2 octobre 2019 (p. 24 et 26 du rapport d’expertise). Elle a en outre également tenu compte de l’avis du Dr C______ du 3 février 2020 (p. 29 du rapport d’expertise) et précisé que le recourant ne présentait pas d’atteinte grave du point de vue orthopédique (p. 46 du rapport d’expertise).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Si le Dr E______ a certes estimé que son patient présentait, en raison de ses atteintes orthopédiques et psychiatriques, une incapacité de travail totale dans toute activité (rapport du 27 septembre 2019), la chambre de céans ne saurait toutefois se fonder sur son avis succinct et peu détaillé. Par ailleurs, les rapports du Dr D______ datés des 1er et 18 octobre 2019 ne permettent nullement, en l’absence d’éléments objectifs précis, de retenir l’existence d’une incapacité de travail dans toute activité. Enfin, celui qu’il a établi le 29 janvier 2021 ne saurait se voir reconnaître une quelconque valeur probante dans la mesure où ce médecin l’a rédigé alors qu’il n’avait pas revu le recourant depuis février 2020. Compte tenu de ces éléments, sur le plan orthopédique, la chambre de céans ne s’écartera pas des conclusions de la Dre H______, et retenues par le SMR dans son avis du 24 septembre 2024, soit une incapacité de travail totale dans l’activité habituelle dès 2016 et une capacité de travail totale dans une activité adaptée dès le 3 mai 2019. Il s’ensuit que conformément à la décision de l’intimé du 29 juin 2020, entrée en force, en tenant compte de cette capacité de travail résiduelle, la perte de gain du</w:t>
      </w:r>
    </w:p>
    <w:p>
      <w:r>
        <w:t>A/1813/2025 - 18/21 - recourant correspond à un degré d’invalidité de 10%, lequel est insuffisant pour lui ouvrir le droit à une rente.</w:t>
      </w:r>
    </w:p>
    <w:p>
      <w:r>
        <w:rPr>
          <w:b/>
        </w:rPr>
        <w:t>E. 7.3</w:t>
      </w:r>
    </w:p>
    <w:p>
      <w:r>
        <w:t>Sur le plan somatique, dans le cadre de l’examen du recourant, effectué le</w:t>
      </w:r>
    </w:p>
    <w:p>
      <w:r>
        <w:rPr>
          <w:b/>
        </w:rPr>
        <w:t>E. 7.4</w:t>
      </w:r>
    </w:p>
    <w:p>
      <w:r>
        <w:t>Sur le plan psychique, on rappellera enfin que la chambre de céans a retenu qu’il était établi, au degré de la vraisemblance prépondérante, et au vu des conclusions probantes du rapport d’expertise du Dr F______ du 20 juin 2022, que l’état de santé du recourant ne s’était pas aggravé depuis la décision du 7 mai 2018 (ATAS/319/2023 du 13 avril 2023). À cet égard, contrairement à ce qu’avance le recourant, aucun élément versé au dossier ne permet de retenir, au degré de la vraisemblance prépondérante, une aggravation de son état de santé psychique, propre à influencer le degré d’invalidité. En effet, à la question de savoir quelles circonstances médicales, ayant une répercussion sur la capacité de travail du recourant, avaient évolué, le Dr E______ a exclusivement fait état de l’apparition de signes d’insuffisance hépatocellulaire (ch. 2.1 rapport réceptionné le 29 août 2024 par l’intimé).</w:t>
      </w:r>
    </w:p>
    <w:p>
      <w:r>
        <w:rPr>
          <w:b/>
        </w:rPr>
        <w:t>E. 7.5</w:t>
      </w:r>
    </w:p>
    <w:p>
      <w:r>
        <w:t>Il résulte de ce qui précède que la décision litigieuse doit être annulée en tant qu’elle fixe le début du droit à la rente du recourant au 1er février 2025 et confirmée pour le surplus, la cause étant renvoyée à l'intimé pour instruction complémentaire sur ce point. À l'issue de l’instruction, l'intimé rendra, dans les meilleurs délais, une nouvelle décision quant au début du droit du recourant à la rente entière d’invalidité.</w:t>
      </w:r>
    </w:p>
    <w:p>
      <w:r>
        <w:t>A/1813/2025 - 20/21 - Vu l’issue du litige, il sera renoncé aux mesures d’instruction proposées par le recourant.</w:t>
      </w:r>
    </w:p>
    <w:p>
      <w:r>
        <w:rPr>
          <w:b/>
        </w:rPr>
        <w:t>E. 8</w:t>
      </w:r>
    </w:p>
    <w:p>
      <w:r>
        <w:t>avril 2024 par la Dre H______, cette spécialiste en orthopédie a constaté que l’intéressé présentait des problèmes médicaux importants, à savoir un ictère, une ascite et une insuffisance respiratoire majeure (p. 46 du rapport d’expertise), sur lesquels elle ne s’est pas prononcée dès lors que ces atteintes ne relèvent pas de son domaine de compétences. Au vu de ces constats et après avoir requis des informations complémentaires auprès du Dr E______, le SMR a, par avis du 24 septembre 2024, retenu que le recourant présentait, en raison d’une cirrhose avec insuffisance hépathocellulaire, une nouvelle incapacité de travail totale durable dans son activité habituelle et dans une activité adaptée à compter du 19 février 2024, date à laquelle un bilan sanguin avait mis en évidence l’ictère et l’insuffisance hépathocellulaire. La chambre de céans relèvera que l’avis précité du SMR ne repose pas sur des observations cliniques auxquelles un médecin du SMR aurait personnellement procédé, mais sur une appréciation fondée exclusivement sur une analyse des documents médicaux versés au dossier. Le résultat de cette appréciation - soit le début d'une incapacité de travail durable dès le 19 février 2024 en raison d’une cirrhose avec insuffisance hépatocellulaire - n'est toutefois corroboré par aucune pièce médicale versée au dossier antérieurement à la décision litigieuse. En effet, aucun médecin ayant examiné le recourant n’a retenu que la cirrhose avec insuffisance hépatocellulaire aurait eu une répercussion sur la capacité de travail du recourant seulement à compter du 19 février 2024. Le seul fait que le bilan sanguin, effectué à cette date, a mis en évidence l’apparition d’un ictère et d’une insuffisance hépatocellulaire, ne saurait suffire pour fixer la date du début de l’incapacité de travail durable au 19 février 2024. En procédant de la sorte, le SMR a posé de nouvelles conclusions, alors qu'il doit se limiter à apprécier celles déjà existantes (arrêt du Tribunal fédéral 9C_581/2007 du 14 juillet 2008 consid. 3.2 et les références). Par ailleurs, alors que le recourant, dans le cadre de son audition, a requis que le Dr E______ soit interrogé sur la survenance de ces nouvelles atteintes à la santé (courrier du 10 mars 2025), force est de constater que l’intimé n’a pas estimé utile de le faire. Or, une instruction sur ce point était d’autant plus nécessaire que le dépôt de la demande de prestations remontait au mois de septembre 2020. Partant, le début du droit à la rente d’invalidité était, en l’état, uniquement subordonné à l’écoulement d’une période d’un an au cours de laquelle l’assuré devait avoir présenté, en raison d’une nouvelle atteinte à la santé, une incapacité de travail de 40% au moins en moyenne, étant encore précisé que selon la jurisprudence, cette période peut déjà commencer à courir lorsque l'intéressé subit un taux d'incapacité de travail de l'ordre de 20%.</w:t>
      </w:r>
    </w:p>
    <w:p>
      <w:r>
        <w:t>A/1813/2025 - 19/21 - En l'absence d'une analyse probante de la situation médicale du recourant permettant de retenir, au degré de la vraisemblance prépondérante, que la nouvelle atteinte dont il souffre a entraîné une incapacité de travail durable déterminante à compter du 19 février 2024, l'intimé ne pouvait ainsi se fonder sur les conclusions du SMR pour rendre sa décision d’octroi de rente entière et fixer le début du droit au 1er février 2025. En outre, la chambre de céans constate que les pièces versées au dossier font également état, notamment, de tremblements des quatre membres constatés par le Dr L______ (rapport du 9 juin 2023) et par le Dr E______ (rapport réceptionné le 29 août 2024 par l’intimé), soit une atteinte nouvelle dont le recourant ne souffrait pas à la date déterminante de la décision du 7 mai 2018 (cf. avis du SMR du 26 février 2018). Or, aucun élément au dossier ne permet de déterminer si cette atteinte a eu une répercussion sur la capacité de travail du recourant, et le cas échéant, depuis quelle date. Dans ces conditions, en l'absence d'une appréciation suffisamment convaincante et circonstanciée permettant de déterminer le début de l’incapacité de travail durable en raison des nouvelles atteintes dont souffre le recourant, la chambre de céans n'est pas en mesure d'apprécier de manière adéquate sa situation médicale. Il se justifie par conséquent de renvoyer la cause à l’intimé pour qu'il procède à une instruction complémentaire, en interrogeant notamment les Drs E______ et L______, et si nécessaire, en mettant en œuvre une expertise indépendante, au sens de l'art. 44 LPGA. Un renvoi à l'administration se justifie, en l'occurrence, vu l'absence d’une expertise mandatée par l'intimé sur ces nouvelles atteintes.</w:t>
      </w:r>
    </w:p>
    <w:p>
      <w:r>
        <w:rPr>
          <w:b/>
        </w:rPr>
        <w:t>E. 8.1</w:t>
      </w:r>
    </w:p>
    <w:p>
      <w:r>
        <w:t>Le recours sera en conséquence partiellement admis, la décision de l’intimé du 8 avril 2025 annulée en tant qu’elle fixe le début du droit à la rente du recourant au 1er février 2025 et confirmée pour le surplus, la cause étant renvoyée à l'intimé pour instruction complémentaire au sens des considérants sur ce point, et nouvelle décision.</w:t>
      </w:r>
    </w:p>
    <w:p>
      <w:r>
        <w:rPr>
          <w:b/>
        </w:rPr>
        <w:t>E. 8.2</w:t>
      </w:r>
    </w:p>
    <w:p>
      <w:r>
        <w:t>Le recourant, assisté par un mandataire professionnellement qualifié et obtenant partiellement gain de cause, a ainsi droit à une indemnité à titre de participation à ses frais et dépens, que la chambre de céans fixera à CHF 2’500.- (art. 61 let. g LPGA ; art. 89H al. 3 LPA ; art. 6 du règlement sur les frais, émoluments et indemnités en procédure administrative du 30 juillet 1986 [RFPA ‑ E 5 10.03]).</w:t>
      </w:r>
    </w:p>
    <w:p>
      <w:r>
        <w:rPr>
          <w:b/>
        </w:rPr>
        <w:t>E. 8.3</w:t>
      </w:r>
    </w:p>
    <w:p>
      <w:r>
        <w:t>Étant donné que, depuis le 1er juillet 2006, la procédure n'est plus gratuite (art. 69 al. 1bis LAI), au vu du sort du recours, il y a lieu de condamner l'intimé au paiement d'un émolument de CHF 200.-.</w:t>
      </w:r>
    </w:p>
    <w:p>
      <w:r>
        <w:t>A/1813/2025 - 21/21 -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