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ATAS/1037/2024 vom 18. Dezember 2024</w:t>
      </w:r>
    </w:p>
    <w:p>
      <w:r>
        <w:t>GE Cour de justice, 2024-12-18, FR</w:t>
      </w:r>
    </w:p>
    <w:p>
      <w:r>
        <w:rPr>
          <w:b/>
        </w:rPr>
        <w:t xml:space="preserve">Quelle: </w:t>
      </w:r>
      <w:r>
        <w:t>https://mcp.opencaselaw.ch/entscheid/ge_gerichte_ATAS_1037_2024</w:t>
      </w:r>
    </w:p>
    <w:p>
      <w:r>
        <w:t>FR: GE_GERICHTE ATAS/1037/2024 du 18 décembre 2024</w:t>
      </w:r>
    </w:p>
    <w:p>
      <w:r>
        <w:t>IT: GE_GERICHTE ATAS/1037/2024 del 18 dicembre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t>A/3898/2023 - 7/15 - Selon l’art. 73 al. 3 LPP, le for est au siège ou domicile suisse du défendeur ou au lieu de l'exploitation dans laquelle l'assuré a été engagé. En l’espèce, la défenderesse, constituée sous la forme d’une fondation, a son siège dans le canton de Genève, où la demanderesse travaillait. La demande du 23 novembre 2023 porte sur le versement de la rente réglementaire d'invalidité et de la rente réglementaire d'enfant d'invalide. Par conséquent, la chambre de céans est compétente pour connaître du litige tant ratione loci que ratione materiae.</w:t>
      </w:r>
    </w:p>
    <w:p>
      <w:r>
        <w:rPr>
          <w:b/>
        </w:rPr>
        <w:t>E. 1.2</w:t>
      </w:r>
    </w:p>
    <w:p>
      <w:r>
        <w:t>L’ouverture de l’action prévue à l’art. 73 al. 1 LPP n’est soumise, comme telle, à l’observation d’aucun délai (ATF 117 V 329 consid. 4). La demande respecte en outre la forme prévue à l'art. 89B de la loi sur la procédure administrative du 12 septembre 1985 (LPA - E 5 10). Elle est en conséquence recevable.</w:t>
      </w:r>
    </w:p>
    <w:p>
      <w:r>
        <w:rPr>
          <w:b/>
        </w:rPr>
        <w:t>E. 2</w:t>
      </w:r>
    </w:p>
    <w:p>
      <w:r>
        <w:t>Le litige porte sur le point de savoir si la demanderesse a droit au versement de la rente réglementaire entière d'invalidité et de la rente réglementaire d'enfant d'invalide découlant de la prévoyance professionnelle plus étendue, pour la période comprise entre le 26 novembre 2016 et le 31 juillet 2019.</w:t>
      </w:r>
    </w:p>
    <w:p>
      <w:r>
        <w:rPr>
          <w:b/>
        </w:rPr>
        <w:t>E. 3.1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3.1.1</w:t>
      </w:r>
    </w:p>
    <w:p>
      <w:r>
        <w:t>En matière de prévoyance obligatoire, les conditions d'octroi de prestations d’invalidité sont décrites aux art. 23 ss LPP. Selon l’art. 23 LPP (dans sa teneur en vigueur depuis le 1er janvier 2005), ont droit à des prestations d’invalidité les personnes qui sont invalides à raison de 40% au moins au sens de l’AI, et qui étaient assurées lorsqu’est survenue l’incapacité de travail dont la cause est à l’origine de l’invalidité (let. a). Selon l'art. 24 al. 1 LPP (dans sa teneur en vigueur du 1er janvier 2005 au 31 décembre 2021 ici applicable),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(LAI - RS 831.20 ; art. 29 LAI) s'appliquent par analogie à la naissance du droit aux prestations d'invalidité (al. 1). D’après l’art. 29 LAI (dans sa teneur en vigueur depuis le 1er janvier 2008), le droit à la rente prend naissance au plus tôt à l'échéance d'une période de six mois à</w:t>
      </w:r>
    </w:p>
    <w:p>
      <w:r>
        <w:t>A/3898/2023 - 8/15 - compter de la date à laquelle l'assuré a fait valoir son droit aux prestations conformément à l'art. 29 al. 1 LPGA, mais pas avant le mois qui suit le 18e anniversaire de l'assuré (al. 1).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264 consid. 1c ; 120 V 117</w:t>
      </w:r>
    </w:p>
    <w:p>
      <w:r>
        <w:t>A/3898/2023 - 9/15 - consid. 2c/aa). Dans l'arrêt 9C_147/2017 du 20 février 2018, publié aux ATF 144 V 58, le Tribunal fédéral a précisé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(ATF 134 V 20 consid. 5.3 ; arrêts 9C_465/2018 du 30 janvier 2019 consid. 3.2 ; 9C_98/2013 du</w:t>
      </w:r>
    </w:p>
    <w:p>
      <w:r>
        <w:rPr>
          <w:b/>
        </w:rPr>
        <w:t>E. 3.1.2</w:t>
      </w:r>
    </w:p>
    <w:p>
      <w:r>
        <w:t>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 consid. 2a).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w:t>
      </w:r>
    </w:p>
    <w:p>
      <w:r>
        <w:t>A/3898/2023 - 10/15 -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w:t>
      </w:r>
    </w:p>
    <w:p>
      <w:r>
        <w:rPr>
          <w:b/>
        </w:rPr>
        <w:t>E. 3.2</w:t>
      </w:r>
    </w:p>
    <w:p>
      <w:r>
        <w:t>La défenderesse, comme on le verra plus loin, est une institution de prévoyance de droit privé dite « enveloppante », en ce sens qu'elle alloue à ses affiliés des prestations obligatoires et plus étendues.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138 V 176 consid. 5.3). Dans les faits, une institution de prévoyance « enveloppante » propose, en général, un plan de prestations unique qui inclut les prestations minimales et les améliore, sans opérer de distinctions entre prévoyance obligatoire et prévoyance plus étendue (arrêt du Tribunal fédéral 9C_40/2010 du 6 octobre 2010 consid. 4.4).</w:t>
      </w:r>
    </w:p>
    <w:p>
      <w:r>
        <w:rPr>
          <w:b/>
        </w:rPr>
        <w:t>E. 4</w:t>
      </w:r>
    </w:p>
    <w:p>
      <w:r>
        <w:t>juillet 2013 consid. 4.1 in SVR 2014 BVG n° 1 p. 2 et les références). Une capacité de travail de 80% ne suffit pas pour interrompre le lien de connexité temporelle (ATF 144 V 58 consid. 4.5 ; arrêt du Tribunal fédéral 9C_533/2017 du 28 mai 2018 consid. 2.1.2).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rPr>
          <w:b/>
        </w:rPr>
        <w:t>E. 4.1</w:t>
      </w:r>
    </w:p>
    <w:p>
      <w:r>
        <w:t>Selon le règlement 2006 auquel les parties se réfèrent pour appuyer leur position respective, « [e]st considéré comme invalide un Assuré qui, pour des raisons de santé (accident, maladie, faiblesse due à l'âge ou infirmité), n'est plus en mesure d'exercer sa profession ou une autre activité professionnelle qu'on peut raisonnablement attendre de lui. » (art. 10.1) « Le Conseil de Fondation est compétent pour reconnaître l'invalidité. Il prendra sa décision définitive en ce qui concerne le taux d'invalidité sur la base de la décision de l'AI. Tout paiement fait par la Fondation à l'Assuré antérieurement à la décision définitive sera considéré comme une avance. Tout trop perçu devra être remboursé par l'Assuré. » (art. 10.2) « Si un Assuré devient invalide (art. 10.1), il reçoit une rente d'invalidité. Celle-ci n'est toutefois pas due aussi longtemps que et dans la mesure où le Groupe D______ verse un salaire ou un revenu de substitution, ou que l'assurance- maladie, l'assurance-accident ou une autre assurance qui été financée au moins à 50% par le Groupe D______ paie des indemnités journalières d'au moins 80% du salaire. La rente d'invalidité est versée aussi longtemps que l'invalidité existe, mais au plus tard jusqu’au décès de l'Assuré ou jusqu'à l'âge normal de la retraite. À partir de ce moment-là, les prestations de retraite prennent le relais. » (art. 10.3) « En cas d'invalidité partielle, la rente d'invalidité est payable proportionnellement au degré d'invalidité. Une rente complète est versée si le degré d'invalidité est supérieur aux deux tiers. Aucune rente n'est versée si le degré d'invalidité est inférieur à 25%. » (art. 10.5)</w:t>
      </w:r>
    </w:p>
    <w:p>
      <w:r>
        <w:t>A/3898/2023 - 11/15 - Ces dispositions relatives à la notion d'invalidité vont au-delà des exigences légales prévues pour la prévoyance professionnelle obligatoire sous un double aspect. D'une part, le règlement prévoit l'octroi d'une rente déjà à partir d'un degré d'invalidité de 25%. D'autre part, la notion d'invalidité est définie de manière plus large que dans la LAI et la LPP, puisqu'à la différence de l'art. 8 LPGA, elle assimile l'invalidité à l'atteinte à la santé et pas à l'incapacité de gain. Si cette atteinte entraîne une incapacité d'accomplir la profession exercée (invalidité de fonction) ou une autre activité pouvant raisonnablement être exigée (fonction de substitution), alors on parle d'invalidité. Il peut donc arriver qu'un assuré soit mis au bénéfice d'une pension d'invalidité de la prévoyance professionnelle surobligatoire sans remplir les conditions fixées par la LAI. À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(cf. arrêt du Tribunal fédéral 9C_644/2014 du 13 juillet 2015 consid. 7.5). Il ressort du texte clair de l'art. 10.2 précité que le Conseil de Fondation est lié, in fine, en matière d'évaluation de l'invalidité, par l'estimation effectuée par l'OAI. Certes, il n'est pas exclu que le Conseil de Fondation alloue une avance durant une période antérieure à la décision de l'assurance-invalidité dans un cas d'espèce. Cela ne préjuge toutefois pas de la naissance du droit effectif à des prestations de la prévoyance professionnelle, une fois que le Conseil de Fondation aura tranché de manière définitive la question de savoir si l'assuré peut prétendre auxdites prestations d'invalidité, en se fondant sur la décision de l'OAI fondée sur une instruction complète du cas. Le droit à la rente de la prévoyance professionnelle est ainsi calqué sur le droit à la rente de l'assurance-invalidité. De cette manière, le Conseil de Fondation n'est pas obligé d'effectuer des investigations approfondies sur le plan médical. Cela répond à une certaine logique, du moment que la notion d'invalidité reconnue par l'assurance-invalidité, plus étroite, se confond nécessairement avec la notion d'invalidité de fonction. En l'occurrence, la demanderesse n'a pas été mise au bénéfice d'une avance par le Conseil de Fondation. Dès lors que la défenderesse - qui au demeurant a participé à la procédure AI puisque le projet de décision du 24 août 2022 (dossier AI p. 419) lui a été notifié (p. 421) conformément à l'art. 73bis al. 2 let. f du règlement sur l'assurance-invalidité du 17 janvier 1961 (RAI - RS 831.201 ; arrêt du Tribunal fédéral B.27/05 du 26 juillet 2006 consid. 3.3) - a repris à son compte l'évaluation de l'invalidité à laquelle avait procédé l'OAI, pour reconnaître à la demanderesse le droit à des prestations d'invalidité de la prévoyance professionnelle étendue, elle est liée par cette évaluation, sous réserve du caractère d'emblée insoutenable de celle-ci.</w:t>
      </w:r>
    </w:p>
    <w:p>
      <w:r>
        <w:t>A/3898/2023 - 12/15 - À cet égard, il ressort du dossier AI que l'OAI a mis en œuvre une expertise psychiatrique, à l'issue de laquelle l'expert a retenu les diagnostics incapacitants de neurasthénie (F48.0) et de dysthymie (F34.1) depuis 2009 (p. 128). La capacité de travail de la demanderesse était nulle dans l'activité habituelle mais de 70% dans une activité adaptée dans un poste solitaire ou en petit groupe, proche de ses capacités de base, un trop grand décalage allant alimenter une dévalorisation narcissique non tolérable, sans pression hiérarchique et dans un milieu bienveillant (p.134). Cette expertise est fondée sur l'anamnèse et les pièces médicales au dossier (p. 119-123), les plaintes de l'assurée (p. 123), un examen clinique (p. 123-125) complété par une évaluation neuropsychologique (pp. 125-128), un entretien téléphonique avec le psychiatre traitant (p. 128), et une appréciation circonstanciée du cas (pp. 130-135). L'expertise psychiatrique répond aux critères jurisprudentiels pour se voir reconnaître force probante (ATF 134 V 231 consid. 5.1), étant souligné que dans l'arrêt de renvoi du 22 juin 2022 (ATS/571/2022) annulant la décision du 26 octobre 2021 (p. 339) qui mettait, sur la base de cette expertise, l'assurée au bénéfice d'un trois quarts de rente d'invalidité dès le 1er août 2019, la chambre de céans a relevé que la valeur probante de celle-ci n'était pas contestée (consid. 5.2). La chambre de céans constatait également qu'une activité adaptée à l'état de santé de l'assurée serait une activité déployée dans la finance, dans un poste à responsabilités, sans pression hiérarchique. Toutefois, l'augmentation de la productivité au sein des entreprises, la pression sur la rentabilité ou encore les nécessités liées à la maîtrise des coûts salariaux pesaient sur les salariés, qui devaient faire preuve d'engagement et d'efficacité et montrer des facultés d'adaptation importantes de nos jours. Cela était d'autant plus vrai dans un poste à responsabilités dans le domaine de la finance. Or, il apparaissait que l'état de santé de l'assurée l'empêchait de supporter de telles conditions de travail, sa capacité de gain étant conditionnée au fait de pouvoir travailler en évitant le stress professionnel. Dans ce cas particulier, compte tenu des limitations fonctionnelles de l'assurée, l’OAI aurait dû déterminer s'il existait suffisamment d'opportunités réalistes d'activités adaptées à celles-ci sur le marché du travail et si l'assurée était ainsi concrètement encore en mesure d’exploiter une capacité de travail résiduelle sur le plan économique. En conséquence de quoi, la cause a été renvoyée à l'OAI afin qu’il détermine les activités concrètement envisageables pour l'assurée au vu des limitations fonctionnelles retenues (consid. 5.2). Sur ce, l'OAI a mandaté le service de réadaptation pour la mise en œuvre de ce complément d'instruction (p. 408). Dans une note du 9 août 2022 (p. 414), ledit service a relevé notamment que selon l'expert psychiatre, il n'existait pas d'évolution possible à moyen terme, les symptômes thymiques et de neurasthénie étant essentiellement séquellaires et présents au long cours. Compte tenu des limitations fonctionnelles retenues, des</w:t>
      </w:r>
    </w:p>
    <w:p>
      <w:r>
        <w:t>A/3898/2023 - 13/15 - caractéristiques auxquelles l’activité adaptée devait répondre et de l’absence de perspectives d’amélioration à moyen terme de la capacité de travail, ce service a conclu que des mesures [de réadaptation] n'étaient pas indiquées et que la perte de gain était totale. Sur cette base, par décision du 16 décembre 2022 (pp. 470 et 483), l'OAI a accordé à l'assurée une rente entière d'invalidité à compter du 1er août 2019, en raison du dépôt tardif de la demande de prestations le 26 février 2019 (art. 29 al. 1 LAI). Aussi l'évaluation de l'invalidité effectuée par l'OAI en décembre 2022 n'apparaît- elle pas d'emblée insoutenable, de sorte que la défenderesse est liée par cette décision quant à la fixation du degré d'invalidité. La lettre de recommandation du 24 novembre 2015 (p. 53), dans laquelle B______, co-fondateur de C______ indique notamment avoir eu du plaisir à travailler avec la demanderesse dans le cadre d'une activité bénévole (« I had the pleasure of working with A______ as part of our volunteer commitment (…) » n'a aucune conséquence pour l'issue du litige. En effet, ce document, qui figurait déjà au dossier AI lors du prononcé de la décision du 16 décembre 2022, ne constitue pas un moyen de preuve nouveau susceptible de mener à une appréciation juridique différente qui obligerait l'OAI à revenir sur cette décision entrée en force. Autrement dit, ce document ne permet pas de s'écarter des conclusions de l'expert (et de l'OAI) sur le plan médical, et ne suffit pas pour interrompre le lien de connexité temporelle. Il n'a par ailleurs jamais été contesté que la demanderesse était assurée auprès de la défenderesse au moment de la survenance de l'incapacité de travail (en 2009) dont la cause est à l'origine de l'invalidité. Enfin, le règlement applicable étant muet concernant le début du droit, c'est à juste titre que la défenderesse, en se référant à l'art. 29 al. 1 LAI en lien avec l'art. 26 al. 1 LPP, a fixé la naissance du droit à la rente de la prévoyance professionnelle étendue au 1er août 2019, au même moment que le droit à la rente de l'assurance- invalidité (ATF 140 V 470 consid. 3.4 ; Marc HÜRZELER, in SCHNEIDER, GEISER, GÄCHTER [éd.], LPP et LFLP, 2020, n° 4 ad art. 26 LPP). Le droit à la rente d'enfant d'invalide est également né le 1er août 2019, conformément à l'art. 11.2 1re phrase dudit règlement qui stipule que « [l]e droit à la rente d'enfant d'invalide prend naissance au moment du paiement de la rente d'invalidité. »</w:t>
      </w:r>
    </w:p>
    <w:p>
      <w:r>
        <w:rPr>
          <w:b/>
        </w:rPr>
        <w:t>E. 4.2</w:t>
      </w:r>
    </w:p>
    <w:p>
      <w:r>
        <w:t>Au vu de ce qui précède, il n'est pas nécessaire d'instruire davantage le dossier.</w:t>
      </w:r>
    </w:p>
    <w:p>
      <w:r>
        <w:rPr>
          <w:b/>
        </w:rPr>
        <w:t>E. 5</w:t>
      </w:r>
    </w:p>
    <w:p>
      <w:r>
        <w:t>Par conséquent, la demande ne peut qu'être rejetée. Les caisses de pension n’ont en principe pas droit à des dépens, sauf en cas de recours téméraire ou interjeté à la légère par l’assuré ; cela vaut également pour</w:t>
      </w:r>
    </w:p>
    <w:p>
      <w:r>
        <w:t>A/3898/2023 - 14/15 -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w:t>
      </w:r>
    </w:p>
    <w:p>
      <w:r>
        <w:t>A/3898/2023 - 15/15 -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