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ATAS/1036/2019 vom 12. November 2019</w:t>
      </w:r>
    </w:p>
    <w:p>
      <w:r>
        <w:t>GE Cour de justice, 2019-11-12, FR</w:t>
      </w:r>
    </w:p>
    <w:p>
      <w:r>
        <w:rPr>
          <w:b/>
        </w:rPr>
        <w:t xml:space="preserve">Quelle: </w:t>
      </w:r>
      <w:r>
        <w:t>https://mcp.opencaselaw.ch/entscheid/ge_gerichte_ATAS_1036_2019</w:t>
      </w:r>
    </w:p>
    <w:p>
      <w:r>
        <w:t>FR: GE_GERICHTE ATAS/1036/2019 du 12 novembre 2019</w:t>
      </w:r>
    </w:p>
    <w:p>
      <w:r>
        <w:t>IT: GE_GERICHTE ATAS/1036/2019 del 12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A/4043/2018 - 13/28 -</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Sur le plan matériel, sont en principe applicables les règles de droit en vigueur au moment où les faits juridiquement déterminants se sont produits (ATF 129 V 1 consid. 1; ATF 127 V 467 consid. 1 et les références).</w:t>
      </w:r>
    </w:p>
    <w:p>
      <w:r>
        <w:rPr>
          <w:b/>
        </w:rPr>
        <w:t>E. 5</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6</w:t>
      </w:r>
    </w:p>
    <w:p>
      <w:r>
        <w:t>Le litige porte sur le droit de la recourante à des prestations d'invalidité, singulièrement d'un droit à la rente.</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A/4043/2018 - 14/28 -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w:t>
      </w:r>
    </w:p>
    <w:p>
      <w:r>
        <w:rPr>
          <w:b/>
        </w:rPr>
        <w:t>E. 9</w:t>
      </w:r>
    </w:p>
    <w:p>
      <w:r>
        <w:t>Les principes jurisprudentiels développés en matière de troubles somatoformes douloureux sont également applicables à la fibromyalgie (ATF 132 V 65 consid. 4.1), au syndrome de fatigue chronique ou de neurasthénie (ATF 139 V346;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10</w:t>
      </w:r>
    </w:p>
    <w:p>
      <w:r>
        <w:t>a.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w:t>
      </w:r>
    </w:p>
    <w:p>
      <w:r>
        <w:t>A/4043/2018 - 15/28 - Dans un arrêt de principe du 11 juillet 2019 (arrêt 9C_724/2018),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w:t>
      </w:r>
    </w:p>
    <w:p>
      <w:r>
        <w:t>A/4043/2018 - 16/28 - Complexe « Personnalité » (diagnostic de la personnalité, ressources personnelles; consid. 4.3.2) Complexe « Contexte social » (consid. 4.3.3)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w:t>
      </w:r>
    </w:p>
    <w:p>
      <w:r>
        <w:t>A/4043/2018 - 17/28 -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A/4043/2018 - 18/28 -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A/4043/2018 - 19/28 -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11</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12</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w:t>
      </w:r>
    </w:p>
    <w:p>
      <w:r>
        <w:t>A/4043/2018 - 20/28 -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A/4043/2018 - 21/28 -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A/4043/2018 - 22/28 -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w:t>
      </w:r>
    </w:p>
    <w:p>
      <w:r>
        <w:t>A/4043/2018 - 23/28 - 24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A/4043/2018 - 24/28 -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15</w:t>
      </w:r>
    </w:p>
    <w:p>
      <w:r>
        <w:t>En l'espèce, il est constant que par sa décision du 16 octobre 2018, l'OAI a nié tout droit aux prestations de l'assurance-invalidité à la recourante, en particulier un droit à la rente, en se fondant sur l'expertise psychiatrique réalisée par la Dresse G______, le SMR en ayant déduit, à lecture de cette expertise, que la recourante souffrant de toxicomanie et d'alcoolisme primaire, et en a conclu que la symptomatologie psychiatrique présentée découlant directement des addictions, il n'y avait pas d'incapacité de travail au sens de l'assurance-invalidité, notamment au vu des diagnostics retenus par l'experte, que l'atteinte à la santé ne constituait pas une invalidité au sens de la loi sur l'assurance-invalidité, et qu'il n'y avait pas lieu d'exiger un sevrage. Il arrivait donc à la conclusion que la CT était entière dans toute activité dès décembre 2015, en lien avec l'atteinte oncologique. Dans son recours, l'assurée conteste toute valeur probante à cette expertise, pour les motifs détaillés retenus dans la partie en fait (p. 6 ad ch. 17). Au vu de la récente jurisprudence du Tribunal fédéral (arrêt 9C_724/2018 du 11 juillet 2019), aux termes de laquelle la Haute cour est parvenue à la conclusion que sa pratique en matière de syndrome de dépendance ne pouvait plus être maintenue, considérant désormais que d’un point de vue médical, les syndromes de</w:t>
      </w:r>
    </w:p>
    <w:p>
      <w:r>
        <w:t>A/4043/2018 - 25/28 - dépendance et les troubles liés à la consommation de substances diagnostiqués lege artis par un spécialiste doivent également être considérés comme des atteintes (psychiques) à la santé significatives au sens du droit de l’assurance invalidité. Selon cette décision, la jurisprudence développée à ce propos doit être modifiée en ce sens que, dans l’assurance-invalidité, toute pertinence ne puisse plus être d’emblée niée à un syndrome de dépendance ou à un trouble d’utilisation de substances addictives diagnostiqué irréfutablement par des spécialistes. Il s’agit, comme pour toutes les autres maladies psychiques, de déterminer selon une grille d’évaluation normative et structurée (à cet égard, ATF 141 V 281) si, et le cas échéant jusqu’à quel point, un syndrome de dépendance diagnostiqué par des spécialistes influence dans le cas examiné la capacité de travail. Il y a lieu dans un premier temps de déterminer si l'on peut reconnaître une pleine valeur probante au rapport d'expertise de la Dresse G______.</w:t>
      </w:r>
    </w:p>
    <w:p>
      <w:r>
        <w:rPr>
          <w:b/>
        </w:rPr>
        <w:t>E. 16</w:t>
      </w:r>
    </w:p>
    <w:p>
      <w:r>
        <w:t>En l'espèce, la chambre de céans considère que le rapport d'expertise de la Dresse G______ répond tout d'abord, et sur le plan formel, à toutes les conditions requises par la jurisprudence rappelée précédemment, pour se voir en principe reconnaître une pleine valeur probante. Elle retient également que l’expertise psychiatrique réalisée sur la recourante remplit également les exigences d’une évaluation normative et structurée. Il convient d'observer que l'experte a considéré que la capacité de travail dans l'activité de vendeuse exercée jusqu'ici était nulle, en raison des consommations de toxiques, l'assurée pouvant se mettre en danger (chute) en fonction du type d'activité, la CT dans ce domaine ne pouvant pas évoluer sans réduction des consommations de toxiques. On observera également que dans son approche par rapport à cette expertise, le SMR, retenant une toxicomanie et un alcoolisme primaires, s'est écarté de cette conclusion de l'experte, retenant une pleine capacité de travail (dès 2015 en raison de l'affection oncologique préalable). En revanche, et examinant la CT dans une activité adaptée (thérapeute corporelle ; activité sans stress) la réponse donnée par l'experte aux questions posées par l'OAI peut certes apparaître contradictoire, mais seulement en apparence, et ceci au vu des questions telles que posées. En effet, à la question de savoir quel serait le temps de présence maximale possible dans cette activité, l'experte répond : « 100 % », alors que répondant aux questions suivantes, elle indique, sans la chiffrer, que la performance (soit le rendement) serait également réduite durant le temps de présence pour une activité de ce type, car l'assurée a peu travaillé dans sa vie, qu'elle n'est pas habituée au rythme sur le plan professionnel - ce qui en soi n'est évidemment pas déterminant sur le plan de l'assurance-invalidité. En revanche, la question de savoir à quel pourcentage évaluer globalement la CT de l'assurée dans cette activité adaptée, par rapport à un emploi à 100 %, l'experte répond qu'il est impossible d'évaluer un tel pourcentage actuellement, en raison des troubles psychiques légers à moyen non traités lege artis et des consommations de toxiques présentes de longue date. Elle ajoute que l'évolution de la CT, dans ce contexte, dépendra de la motivation de l'assurée à suivre un traitement de ses addictions et à accepter un traitement médicamenteux. Quant à l'exigibilité d'un tel traitement,</w:t>
      </w:r>
    </w:p>
    <w:p>
      <w:r>
        <w:t>A/4043/2018 - 26/28 - l'experte relève que selon l'anamnèse, l'assurée aurait débuté sa consommation de cannabis vers 2010 et une plus forte consommation d'alcool vers 2015. L'atteinte à la santé liée aux consommations n'est pas attestée puisque l'assurée ne travaillait pas (LF inconnues) et ne consultait pas (diagnostics inconnus); elles ne sont toujours pas attestées à ce jour malgré le suivi depuis 2017. Les troubles décrits par le psychiatre traitant ont été attestés comme étant incapacitants, dans l'ignorance de la toxicomanie de l'assurée. La nécessité des sevrages et d'un traitement adapté aux troubles psychiques résiduels est exigible; cependant l'assurée ne perçoit pas ses consommations comme étant un problème ; il est donc envisageable de penser que la motivation de l'assurée sera de faible volonté. Au vu de ce qui précède, on pourrait toutefois voir une contradiction dans le fait que répondant à la question « quelle est la CT dans une activité adaptée ?», elle répond : « 100 % en tant que thérapeute corporelle ». En bonne logique, on doit toutefois comprendre que l'experte arrive à cette conclusion, non pas par rapport à la situation actuelle, mais dans la mesure où préalablement les traitements et sevrages exigibles soient à terme couronnés de succès. Ainsi, et n'en déplaise à la recourante, sans qu'il soit nécessaire à ce stade, et dans la mesure où, quoi qu'il en soit, la cause sera renvoyée pour instruction complémentaire à l'OAI, le rapport d'expertise psychiatrique de la Dresse G______ n'est pas dénué de toute valeur probante, bien entendu sous la réserve de la modification récente de la jurisprudence en matière d'atteinte à la santé par rapport aux dépendances à la toxicomanie et d'alcoolisme. Quoi qu'il en soit, l'OAI pourra au besoin interpeller l'experte, dans le cadre d'un complément d'expertise, en lui posant notamment toutes les questions utiles par rapport aux exigences de la nouvelle jurisprudence en la matière.</w:t>
      </w:r>
    </w:p>
    <w:p>
      <w:r>
        <w:rPr>
          <w:b/>
        </w:rPr>
        <w:t>E. 17</w:t>
      </w:r>
    </w:p>
    <w:p>
      <w:r>
        <w:t>En principe,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La décision du 16 octobre 2018 n’étant en l’espèce pas entrée en force, la modification de jurisprudence à laquelle a procédé le Tribunal fédéral dans son arrêt du 11 juillet 2019 ne peut être que prise en considération pour résoudre le présent litige.</w:t>
      </w:r>
    </w:p>
    <w:p>
      <w:r>
        <w:rPr>
          <w:b/>
        </w:rPr>
        <w:t>E. 18</w:t>
      </w:r>
    </w:p>
    <w:p>
      <w:r>
        <w:t>Au vu de ce qui précède, la décision entreprise niant le droit aux prestations de l'assurance-invalidité au motif que, selon l'ancienne jurisprudence, les addictions concernées ne relèveraient pas de l'AI, dans la mesure où elles seraient primaires, elle doit être annulée.</w:t>
      </w:r>
    </w:p>
    <w:p>
      <w:r>
        <w:rPr>
          <w:b/>
        </w:rPr>
        <w:t>E. 19</w:t>
      </w:r>
    </w:p>
    <w:p>
      <w:r>
        <w:t>La chambre de céans constate, à la lumière de cette jurisprudence en matière de syndrome de dépendance, que la présente cause est insuffisamment instruite pour lui permettre de trancher.</w:t>
      </w:r>
    </w:p>
    <w:p>
      <w:r>
        <w:t>A/4043/2018 - 27/28 -</w:t>
      </w:r>
    </w:p>
    <w:p>
      <w:r>
        <w:rPr>
          <w:b/>
        </w:rPr>
        <w:t>E. 20</w:t>
      </w:r>
    </w:p>
    <w:p>
      <w:r>
        <w:t>Selon la nouvelle jurisprudence, l'obligation de diminuer le dommage s'applique aussi en cas de syndrome de dépendance. Il peut par exemple être exigé de la personne concernée une participation active à des traitements médicaux raisonnables. Si celle-ci ne se conforme pas à son obligation de diminuer le dommage et permet ainsi le développement de son état pathologique, un refus ou une réduction des prestations est possible. De ce point de vue, l'experte a émis des doutes en ce qui concerne la motivation de l'expertisée, suggérant que dès lors que cette dernière ne perçoit pas ses consommations comme étant un problème, sa volonté de se plier à l'exigibilité reconnue du traitement psychiatrique et du sevrage, pourrait être faible. Il incombera toutefois à l'OAI, dans le cadre d'un complément d'instruction, à vérifier cette question, étant précisé, à l'intention de la recourante, qu'il est de son intérêt, mais aussi de son devoir, de se soumettre aux traitements exigibles, à défaut de quoi, les prestations de l'assurance-invalidité pourraient être réduites voire supprimées. Selon le Tribunal fédéral, dans la jurisprudence susmentionnée, une augmentation progressive de la capacité fonctionnelle par la poursuite du suivi thérapeutique est exigible après un sevrage progressif, sans que cela ne soit cependant possible dans un délai déterminé, le droit à une rente de l'assurance-invalidité est, au préalable, ouvert. Le droit aux prestations de l'assuré devra, par voie de révision, être réexaminé par l'office AI en temps opportun après la mise en œuvre de la thérapie. Ainsi, en l'espèce, l'OAI devra s'assurer par tous moyens utiles, avec la collaboration des médecins traitants et de l'intéressée, de la mise en œuvre des traitements exigibles, assortie de toute mesure propre à vérifier la pleine compliance de l'assurée au traitement mis en œuvre, et dans un premier temps compléter l'instruction en vue de déterminer le taux d'invalidité à retenir et fixer le montant de la rente dont l'assurée pourra bénéficier d'ores et déjà, y compris pendant la mise en œuvre des traitements exigibles.</w:t>
      </w:r>
    </w:p>
    <w:p>
      <w:r>
        <w:rPr>
          <w:b/>
        </w:rPr>
        <w:t>E. 21</w:t>
      </w:r>
    </w:p>
    <w:p>
      <w:r>
        <w:t>Il se justifie en conséquence d’admettre le recours, d’annuler la décision du 16 octobre 2018 et de renvoyer la cause à l’OAI pour instruction complémentaire au sens des considérants, et pour nouvelle décision.</w:t>
      </w:r>
    </w:p>
    <w:p>
      <w:r>
        <w:rPr>
          <w:b/>
        </w:rPr>
        <w:t>E. 22</w:t>
      </w:r>
    </w:p>
    <w:p>
      <w:r>
        <w:t>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la procédure n'est pas gratuite (art. 69 al. 1bis LAI), au vu du sort du recours, il y a lieu de condamner l'intimé au paiement d'un émolument de CHF 200.-. PAR CES MOTIFS, LA CHAMBRE DES ASSURANCES SOCIALES :</w:t>
      </w:r>
    </w:p>
    <w:p>
      <w:r>
        <w:t>A/4043/2018 - 28/28 -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