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ATAS/1036/2017 vom 20. November 2017</w:t>
      </w:r>
    </w:p>
    <w:p>
      <w:r>
        <w:t>GE Cour de justice, 2017-11-20, FR</w:t>
      </w:r>
    </w:p>
    <w:p>
      <w:r>
        <w:rPr>
          <w:b/>
        </w:rPr>
        <w:t xml:space="preserve">Quelle: </w:t>
      </w:r>
      <w:r>
        <w:t>https://mcp.opencaselaw.ch/entscheid/ge_gerichte_ATAS_1036_2017</w:t>
      </w:r>
    </w:p>
    <w:p>
      <w:r>
        <w:t>FR: GE_GERICHTE ATAS/1036/2017 du 20 novembre 2017</w:t>
      </w:r>
    </w:p>
    <w:p>
      <w:r>
        <w:t>IT: GE_GERICHTE ATAS/1036/2017 del 20 novembre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A/821/2017 - 16/24 -</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litige porte sur le lien de causalité entre l’accident du 27 novembre 2009 et les troubles des membres supérieurs, respectivement sur le droit du recourant à des prestations de la part de l’intimée au-delà du 31 mars 2011.</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et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ATF 119 V 335 consid. 1; ATF 118 V 286 consid. 1b et les références). 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w:t>
      </w:r>
    </w:p>
    <w:p>
      <w:r>
        <w:t>A/821/2017 - 17/24 -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(arrêt du Tribunal fédéral 8C_347/2013 du 18 février 2014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d.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 suffit pas (ATF 126 V 360 consid. 5b; ATF 125 V 195 consid. 2; RAMA 2000 n° U 363 p. 46). e. Si un facteur extérieur n'a fait que déclencher les symptômes d'une lésion assimilée à un accident, le droit aux prestations prend fin lorsque le retour à un statu quo ante ou à un statu quo sine, c'est à dire le caractère désormais exclusivement dégénératif ou maladif de l'atteinte à la santé, est clairement établi; le degré de la vraisemblance prépondérante ne suffit pas, sans quoi l'on se trouverait à nouveau</w:t>
      </w:r>
    </w:p>
    <w:p>
      <w:r>
        <w:t>A/821/2017 - 18/24 - confronté, immédiatement après avoir admis l'existence d'une lésion assimilée à un accident, à la difficulté de distinguer entre l'origine accidentelle et maladive de cette lésion (cf. arrêts 8C_357_2007 du 31 janvier 2008 consid. 2, U 378/06 du 24 septembre 2007 consid. 2.2.2, U 60/03 du 28 juin 2004 consid. 3.3).</w:t>
      </w:r>
    </w:p>
    <w:p>
      <w:r>
        <w:rPr>
          <w:b/>
        </w:rPr>
        <w:t>E. 7</w:t>
      </w:r>
    </w:p>
    <w:p>
      <w:r>
        <w:t>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w:t>
      </w:r>
    </w:p>
    <w:p>
      <w:r>
        <w:t>A/821/2017 - 19/24 -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f.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g. En ce qui concerne les rapports établis par les médecins traitants, le juge peut et doit tenir compte du fait que, selon l'expérience, le médecin traitant peut être enclin, en cas de doute, à prendre parti pour son patient en raison de la relation de confiance qu’ils ont nouée (ATF 125 V 351 consid. 3b/cc; arrêt du Tribunal fédéral des assurances I 244/05 du 3 mai 2006 consid. 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A/821/2017 - 20/24 -</w:t>
      </w:r>
    </w:p>
    <w:p>
      <w:r>
        <w:rPr>
          <w:b/>
        </w:rPr>
        <w:t>E. 9</w:t>
      </w:r>
    </w:p>
    <w:p>
      <w:r>
        <w:t>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le fardeau de la preuve n'appartient pas à l'assuré mais à l'assureur (RAMA 2000 n° U 363 p. 46 consid. 2; arrêt du Tribunal fédéral des assurances U 179/03 du 7 juillet 2004 consid. 3). Cette règle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rPr>
          <w:b/>
        </w:rPr>
        <w:t>E. 10</w:t>
      </w:r>
    </w:p>
    <w:p>
      <w:r>
        <w:t>a. Selon la littérature médicale (Quand faut-il opérer une rupture de la coiffe des rotateurs ?, par A. DJAHANGIRI et A. FARRON in Revue Médicale Suisse 2009 p. 2551ss), la rupture de la coiffe des rotateurs peut être d’origine traumatique, dégénérative ou mixte. Les ruptures traumatiques font suite à des chutes sur le moignon de l’épaule ou des mouvements d’abduction contrariés. Les ruptures dégénératives surviennent chez des sujets plus âgés, et sont souvent associées à un rétrécissement de l’espace sous-acromial (acromion crochu ou avec ostéophyte). Des traumatismes parfois mineurs peuvent dans ces conditions provoquer des ruptures plus ou moins complètes de la coiffe (p. 2552). Il existe une corrélation</w:t>
      </w:r>
    </w:p>
    <w:p>
      <w:r>
        <w:t>A/821/2017 - 21/24 - significative entre l’âge et la survenue d’une atteinte de la coiffe des rotateurs. La prévalence de rupture chez les sujets asymptomatiques est de 20 % entre 60 et 70 ans, et atteint même 50 % chez les individus entre 70 et 80 ans. Il existe un délai moyen de dix ans entre l’âge d’apparition d’omalgie sur tendinopathie de la coiffe sans rupture (49 ans) et l’âge moyen d’apparition d’une rupture de la coiffe unilatérale (59 ans) et près de vingt ans pour une bilatérale (68 ans ; p. 2551 et 2552). b. D’après la jurisprudence (arrêt du Tribunal fédéral des assurances U 496/00 du 8 juin 2001 consid. 3b), l'expérience médicale démontre que la lésion de la coiffe des rotateurs est pratiquement toujours - sauf dans le cas de « rupture » - l'aboutissement d'un processus dégénératif qui, à la suite d'une occurrence fortuite, devient symptomatique (cf. aussi ATF 123 V 44 consid. 2a). Or, les lésions mentionnées à l'art. 9 al. 2 de l’ordonnance sur l'assurance-accidents du 20 décembre 1982 (OLAA - RS 832.202) dont font partie les ruptures de la coiffe des rotateurs (let. f), sont assimilées à un accident même si elles ont, pour l'essentiel, une origine vraisemblablement maladive ou dégénérative, pour autant qu'une cause extérieure ait, au moins, déclenché les symptômes dont souffre l'assuré (ATF 139 V 327 consid. 3.1 et les références).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(cf. arrêt du Tribunal fédéral 8C_846/2014 du 23 avril 2015 consid. 3.2).</w:t>
      </w:r>
    </w:p>
    <w:p>
      <w:r>
        <w:rPr>
          <w:b/>
        </w:rPr>
        <w:t>E. 11</w:t>
      </w:r>
    </w:p>
    <w:p>
      <w:r>
        <w:t>A la suite de l’arrêt de renvoi de la chambre de céans du 4 novembre 2015 (ATAS/836/2015), l’intimée a mis en œuvre une nouvelle expertise orthopédique, confiée au Dr Q______, lequel est spécialiste FMH en chirurgie orthopédique. L’expert a rendu son rapport le 2 septembre 2016. Celui-ci, fondé sur un examen du recourant, les pièces du dossier, complétées par deux IRM des épaules des 26 et 29 août 2016, comprend une anamnèse complète, une description détaillée des plaintes et du status, des diagnostics précis, une interprétation approfondie des radiographies et des conclusions claires et bien motivées, de sorte qu’il répond aux réquisits jurisprudentiels précités pour qu’il lui soit reconnu pleine valeur probante. L’expert a considéré que le recourant avait travaillé dans des métiers physiques sollicitant les épaules et aboutissant fréquemment à des tendinopathies douloureuses et / ou invalidantes ; il a relevé que le recourant avait dû consulter avant l’accident, soit en 2008 pour des douleurs diffuses qui touchaient déjà l’épaule droite, ce qui permettait de dire que le recourant débutait à cette époque des tendinopathies dégénératives du sus-épineux ddc. La chute du recourant, avec contusion postérieure du moignon des deux épaules n’était pas appropriée pour léser une telle structure (comme le serait le cas d’un mouvement d’abduction contre résistance ou une compression de l’espace sous-acromial).</w:t>
      </w:r>
    </w:p>
    <w:p>
      <w:r>
        <w:t>A/821/2017 - 22/24 - Après avoir analysé les documents radiologiques, l’expert a conclu que les IRM des deux épaules ne montraient aucun signe de lésion fraiche en 2010 et une évolution en 2016 très comparable aux lésions constatées initialement. D’ailleurs, le Dr D______ avait relevé, après l’accident, des amplitudes fonctionnelles complètes des deux épaules, ce qui allait aussi dans le même sens. La chute n’avait pas induit d’aggravation déterminante ; le recourant avait opéré une fixation psychique sur les lésions initiales. Du côté droit il n’y avait pas de déchirure transfixiante, même partielle, et la lésion partielle du tendon à gauche n’était pas traumatique mais correspondait à une délamination progressive dégénérative, soit exclusivement dégénérative. La capacité de travail était nulle dans l’ancienne activité mais totale dans une activité adaptée soit se passant en dessous de l’horizontale, en appui des membres supérieurs à manipuler des petits objets inférieurs à 3 kg ; le statu quo sine avait été atteint six mois au maximum après l’évènement, celui-ci ayant révélé des tendinopathies dégénératives des deux épaules ; l’accident avait entrainé des contusions cervico-lombaires, des contusions postérieures des deux épaules et une entorse du pouce gauche. S’agissant du pouce gauche, le recourant avait une mobilité complète de l’articulation, sans douleurs. Ce rapport d’expertise n’a été contesté par aucun autre médecin ; en particulier, le Dr R______, orthopédiste traitant du recourant, questionné par la chambre de céans, a indiqué qu’il ne s’était jamais occupé du problème aux épaules du recourant. Le recourant conteste le lien établit par l’expert entre son activité dans des métiers physiques et les lésions aux épaules, en particulier l’affirmation qu’en 2008 il était en train de débuter des tendinopathies dégénératives du sus-épineux ; à cet égard, l’expert a relevé que le recourant avait consulté avant l’accident en raison de douleurs poly-articulaires dont des douleurs à l’épaule droite que le Dr D______ avait jugées compatibles avec un conflit sous acromial avec tendinite du sus- épineux, ce que le recourant ne conteste pas. Il est ainsi avéré que le recourant présentait des douleurs à l’épaule droite antérieures à l’accident et attribuées selon son médecin traitant vraisemblablement à une tendinite du sus-épineux, fait issu de l’anamnèse médicale ayant été prise en compte par l’expert, à côté d’autres éléments comme la description de l’accident et l’analyse des documents radiologiques ; tous ces éléments lui ont permis de conclure à la présence, au degré de la vraisemblance prépondérante, à la date du 31 mars 2011, d’une atteinte exclusivement dégénérative, une aggravation de l’état antérieur étant très largement couverte jusqu’à cette date. Dans le même sens, le Dr D______, que le recourant a consulté après l’accident, avait également indiqué que l’accident avait provoqué des contusions multiples sans gravité et une vraisemblable entorse du pouce gauche dans un contexte où une</w:t>
      </w:r>
    </w:p>
    <w:p>
      <w:r>
        <w:t>A/821/2017 - 23/24 - tendance à l’aggravation ne pouvait être exclue (avis du 4 janvier 2010) et – après l’IRM du 5 janvier 2010 constatant une rupture des deux tendons supra-spinatus droite et gauche – que l’accident avait probablement provoqué une décompensation de tendinopathie chronique des supra-épineux qui était peu symptomatique, la chute dans les escaliers n’ayant pu, de façon probable, provoquer une lésion tendineuse bilatérale (rapport du 18 janvier 2010). Au demeurant, la chambre de céans constate que l’expert a établi de façon convaincante et motivée, au degré de la vraisemblance prépondérante, l’origine maladive des lésions aux deux épaules du recourant, l’accident n’ayant qu’aggravé momentanément l’état antérieur.</w:t>
      </w:r>
    </w:p>
    <w:p>
      <w:r>
        <w:rPr>
          <w:b/>
        </w:rPr>
        <w:t>E. 12</w:t>
      </w:r>
    </w:p>
    <w:p>
      <w:r>
        <w:t>En conséquence, la décision litigieuse, laquelle met fin aux prestations de l’intimée au 31 mars 2011, ne peut qu’être confirmée et le recours rejeté.</w:t>
      </w:r>
    </w:p>
    <w:p>
      <w:r>
        <w:rPr>
          <w:b/>
        </w:rPr>
        <w:t>E. 13</w:t>
      </w:r>
    </w:p>
    <w:p>
      <w:r>
        <w:t>Pour le surplus, la procédure est gratuite.</w:t>
      </w:r>
    </w:p>
    <w:p>
      <w:r>
        <w:t>A/821/2017 - 24/24 -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