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ATAS/1036/2013 vom 24. Oktober 2013</w:t>
      </w:r>
    </w:p>
    <w:p>
      <w:r>
        <w:t>GE Cour de justice, 2013-10-24, FR</w:t>
      </w:r>
    </w:p>
    <w:p>
      <w:r>
        <w:rPr>
          <w:b/>
        </w:rPr>
        <w:t xml:space="preserve">Quelle: </w:t>
      </w:r>
      <w:r>
        <w:t>https://mcp.opencaselaw.ch/entscheid/ge_gerichte_ATAS_1036_2013</w:t>
      </w:r>
    </w:p>
    <w:p>
      <w:r>
        <w:t>FR: GE_GERICHTE ATAS/1036/2013 du 24 octobre 2013</w:t>
      </w:r>
    </w:p>
    <w:p>
      <w:r>
        <w:t>IT: GE_GERICHTE ATAS/1036/2013 del 24 ottobre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Aux termes de l’art. 14 de la loi sur la procédure administrative, du 12 septembre 1985 (LPA; RS E 5 10), la procédure peut être suspendue lorsque son sort dépend de la solution d’une question de nature civile, pénale ou administrative pendante devant une autre autorité, jusqu’à droit connu sur ces questions. A fortiori, la suspension est possible lorsque deux causes sont pendantes devant la même juridiction</w:t>
      </w:r>
    </w:p>
    <w:p>
      <w:r>
        <w:rPr>
          <w:b/>
        </w:rPr>
        <w:t>E. 2</w:t>
      </w:r>
    </w:p>
    <w:p>
      <w:r>
        <w:t>En l’espèce, la nouvelle expertise orthopédique qui a été ordonnée dans le cadre de la procédure opposant la recourante à AXA ASSURANCES SA pourra effectivement avoir une influence sur la présente cause. Il convient dès lors de suspendre cette dernière jusqu’à la reddition du rapport d’expertise du Dr M___________.</w:t>
      </w:r>
    </w:p>
    <w:p>
      <w:r>
        <w:t>A/3241/2009 - 3/3 - PAR CES MOTIFS, LA CHAMBRE DES ASSURANCES SOCIALES : Statuant sur incident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