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ATAS/1036/2011 vom 9. November 2011</w:t>
      </w:r>
    </w:p>
    <w:p>
      <w:r>
        <w:t>GE Cour de justice, 2011-11-09, FR</w:t>
      </w:r>
    </w:p>
    <w:p>
      <w:r>
        <w:rPr>
          <w:b/>
        </w:rPr>
        <w:t xml:space="preserve">Quelle: </w:t>
      </w:r>
      <w:r>
        <w:t>https://mcp.opencaselaw.ch/entscheid/ge_gerichte_ATAS_1036_2011</w:t>
      </w:r>
    </w:p>
    <w:p>
      <w:r>
        <w:t>FR: GE_GERICHTE ATAS/1036/2011 du 9 novembre 2011</w:t>
      </w:r>
    </w:p>
    <w:p>
      <w:r>
        <w:t>IT: GE_GERICHTE ATAS/1036/2011 del 9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La LPGA entrée en vigueur le 1er janvier 2003 s'applique, dès lors que les faits juridiquement déterminants se sont produits postérieurement à son entrée en vigueur (ATF 129 V 1, consid. 1; ATF 127 V 467, consid. 1 et les références).</w:t>
      </w:r>
    </w:p>
    <w:p>
      <w:r>
        <w:rPr>
          <w:b/>
        </w:rPr>
        <w:t>E. 3</w:t>
      </w:r>
    </w:p>
    <w:p>
      <w:r>
        <w:t>Interjeté dans les forme et délai prévus par la loi, le recours est recevable (56 et 60 LPGA).</w:t>
      </w:r>
    </w:p>
    <w:p>
      <w:r>
        <w:rPr>
          <w:b/>
        </w:rPr>
        <w:t>E. 4</w:t>
      </w:r>
    </w:p>
    <w:p>
      <w:r>
        <w:t>L'objet du litige porte sur le point de savoir si l’intimé était en droit suspendre le versement des prestations AI (rente d’invalidité et rentes complémentaires pour les trois enfants) allouée jusqu'alors au recourant, par décision incidente du 17 mai 2011.</w:t>
      </w:r>
    </w:p>
    <w:p>
      <w:r>
        <w:rPr>
          <w:b/>
        </w:rPr>
        <w:t>E. 5</w:t>
      </w:r>
    </w:p>
    <w:p>
      <w:r>
        <w:t>La décision de suspension d'une rente constitue une mesure provisionnelle (ATF du 3 mars 2010, 9C_1016, consid. 1) fondée sur l’art. 55 al. 1 LPGA, en relation avec l’art. 56 de la loi fédérale sur la procédure administrative, du 20 décembre 1968 (PA ; RS 172.021).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2010, p. 528, n° 2.2.6.8, p. 272).</w:t>
      </w:r>
    </w:p>
    <w:p>
      <w:r>
        <w:t>A/1903/2011 - 8/11 -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(ATFA non publié I 278/2002 du 24 juin 2002). Lorsqu'il s'agit d'examiner une mesure provisionnelle, il y a lieu de procéder à une pesée des intérêts en présence (KIESER, Das Verwaltungsverfahren in der Sozialversicherung, p. 190 ss n. 406). Dans le contexte particulier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il n'y aurait pas de suspension de versement des prestations et la procédure de révision serait finalement admise, il serait à craindre qu'une éventuelle procédure en restitution des prestations versées à tort ne se révèle infructueuse (ATF 119 V 503 consid. 4 p. 507 et les références).</w:t>
      </w:r>
    </w:p>
    <w:p>
      <w:r>
        <w:rPr>
          <w:b/>
        </w:rPr>
        <w:t>E. 6</w:t>
      </w:r>
    </w:p>
    <w:p>
      <w:r>
        <w:t>Notre Haute Cour a en d'autres termes considéré que l'intérêt de l'administration est généralement prépondérant lorsque la situation financière de celui qui bénéficie de prestations ne lui permettrait pas de les restituer s'il s'avérait dans le jugement au fond qu'elles étaient perçues à tort (ATFA non publié I 63/05 du 14 novembre 2005, consid. 5.3; ATF 119 V 503, consid. 4; ATF 105 V 266, consid. 3). Dans un arrêt du 19 septembre 2006 (ATFA non publié I 439/06), le TF a également jugé que, dans le contexte de la révision du droit à la rente, l'intérêt d'une assurée à pouvoir continuer à bénéficier de la rente qu'elle percevait jusqu'alors n'était pas d'une importance décisive, tant qu'il n'y avait pas lieu d'admettre que selon toute vraisemblance elle l'emporterait dans la cause principale. Il a, à cette occasion, confirmé que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w:t>
      </w:r>
    </w:p>
    <w:p>
      <w:r>
        <w:t>A/1903/2011 - 9/11 - où l'assurée n'obtiendrait pas gain de cause sur le fond matériel de la contestation, il était en effet à craindre que la procédure en restitution des prestations versées à tort ne se révèle infructueuse (ATF 105 V 266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w:t>
      </w:r>
    </w:p>
    <w:p>
      <w:r>
        <w:rPr>
          <w:b/>
        </w:rPr>
        <w:t>E. 7</w:t>
      </w:r>
    </w:p>
    <w:p>
      <w:r>
        <w:t>En l'espèce, le recourant allègue que son intérêt à percevoir sa rente ainsi que celles en faveur de ses trois enfants durant la procédure de révision doit l’emporter sur celui de l’intimé, eu égard à son état de santé gravement déficient et sa totale incapacité de travail. Il invoque une situation économique extrêmement difficile, dans la mesure où une telle mesure le prive, lui et ses enfants, des moyens de subsistance. Il estime enfin, au vu des différents rapports médicaux dont il se prévaut, que l'intimé ne saurait tendre vers une suppression ou une diminution de sa rente d'invalidité, les éléments allégués à l'appui de la procédure de révision n'ayant jamais été prouvés, ni même fait l'objet d'une condamnation au plan pénal. L'intimé considère au contraire que le recourant a manifestement violé son obligation de le renseigner et qu'il existe un doute raisonnable sur la réalisation d'un gain (cf. procès-verbal d'audition du 10 août 2010). Il estime ainsi que la procédure de révision va, avec un degré de certitude suffisant, aboutir à une réduction ou une suppression rétroactive des prestations versées depuis janvier 2000.</w:t>
      </w:r>
    </w:p>
    <w:p>
      <w:r>
        <w:rPr>
          <w:b/>
        </w:rPr>
        <w:t>E. 8</w:t>
      </w:r>
    </w:p>
    <w:p>
      <w:r>
        <w:t>De l'avis de la Cour, en procédant à une pesée des intérêts en présence, il n'apparaît pas, à ce stade de la procédure, que le recourant obtiendra sans aucun doute gain de cause. En effet, l'instruction en cours n'a pour l'instant pas permis de déterminer au degré de la vraisemblance prépondérante qu'il n'a pas réellement exercé d'activité lucrative en contradiction avec l'atteinte à la santé dont il se prévaut. L'intimé a démontré qu'il planait un doute sur l'existence d'une capacité de travail résiduelle du recourant en produisant le procès-verbal d'audition du 10 août 2010 duquel il ressort que le recourant aurait déclaré avoir travaillé dans l'import export avec son père. Si ces faits sont avérés, ils pourraient avoir des conséquences sur son droit à la rente d’invalidité. Les circonstances doivent toutefois faire l’objet d’une clarification. Ainsi, à l'instar de la jurisprudence précitée, les intérêts de l'administration justifient en l’état de suspendre le versement des indemnités.</w:t>
      </w:r>
    </w:p>
    <w:p>
      <w:r>
        <w:rPr>
          <w:b/>
        </w:rPr>
        <w:t>E. 9</w:t>
      </w:r>
    </w:p>
    <w:p>
      <w:r>
        <w:t>Il s'ensuit que la décision attaquée, en tant que mesure provisionnelle, est fondée. Partant, le recours doit être rejeté.</w:t>
      </w:r>
    </w:p>
    <w:p>
      <w:r>
        <w:t>A/1903/2011 - 10/11 -</w:t>
      </w:r>
    </w:p>
    <w:p>
      <w:r>
        <w:rPr>
          <w:b/>
        </w:rPr>
        <w:t>E. 10</w:t>
      </w:r>
    </w:p>
    <w:p>
      <w:r>
        <w:t>Cela étant, une telle mesure - dont les conséquences ne sont pas négligeables pour le recourant et sa famille - ne saurait perdurer. La Cour de céans invite dès lors l’intimé à faire preuve de diligence dans l’instruction de la procédure de révision et à statuer rapidement sur le fond.</w:t>
      </w:r>
    </w:p>
    <w:p>
      <w:r>
        <w:rPr>
          <w:b/>
        </w:rPr>
        <w:t>E. 11</w:t>
      </w:r>
    </w:p>
    <w:p>
      <w:r>
        <w:t>Au vu de la nature du litige, il n’y a pas lieu de percevoir un émolument (art. 69 al.1bis LAI).</w:t>
      </w:r>
    </w:p>
    <w:p>
      <w:r>
        <w:t>A/1903/2011 - 11/11 - PAR CES MOTIFS, LA CHAMBRE DES ASSURANCES SOCIALES : Statuant A la forme : 1. Déclare le recours recevable. Au fond : 2. Rejette le recours dans le sens des considérants. 3. Dit qu'il n'est pas perçu d'émolument.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