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ATAS/1036/2010 vom 24. März 2010</w:t>
      </w:r>
    </w:p>
    <w:p>
      <w:r>
        <w:t>GE Cour de justice, 2010-03-24, FR</w:t>
      </w:r>
    </w:p>
    <w:p>
      <w:r>
        <w:rPr>
          <w:b/>
        </w:rPr>
        <w:t xml:space="preserve">Quelle: </w:t>
      </w:r>
      <w:r>
        <w:t>https://mcp.opencaselaw.ch/entscheid/ge_gerichte_ATAS_1036_2010</w:t>
      </w:r>
    </w:p>
    <w:p>
      <w:r>
        <w:t>FR: GE_GERICHTE ATAS/1036/2010 du 24 mars 2010</w:t>
      </w:r>
    </w:p>
    <w:p>
      <w:r>
        <w:t>IT: GE_GERICHTE ATAS/1036/2010 del 24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A/1807/2010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16 juillet 2003, d’autre part le 12 mai 2010, date à laquelle le jugement de divorce est devenu exécutoire.</w:t>
      </w:r>
    </w:p>
    <w:p>
      <w:r>
        <w:rPr>
          <w:b/>
        </w:rPr>
        <w:t>E. 4</w:t>
      </w:r>
    </w:p>
    <w:p>
      <w:r>
        <w:t>Selon les renseignements recueillis, la prestation acquise pendant le mariage par le demandeur est de 3'566 fr. 05 (3'511 fr. 05 + 55 fr.). Ainsi, le demandeur doit à son ex-épouse le montant de 1'783 fr. (3'566 fr. 05 : 2). Dans la mesure où la demanderesse n'a pas communiqué au Tribunal de céans les coordonnées de son compte de libre passage, alors même qu'elle a été invitée à le faire par courrier du 15 septembre 2010, ce montant sera versé sur un compte à ouvrir en son nom auprès de la Fondation institution supplétive LPP.</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A/1807/2010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