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ATAS/1034/2023 vom 21. Dezember 2023</w:t>
      </w:r>
    </w:p>
    <w:p>
      <w:r>
        <w:t>GE Cour de justice, 2023-12-21, FR</w:t>
      </w:r>
    </w:p>
    <w:p>
      <w:r>
        <w:rPr>
          <w:b/>
        </w:rPr>
        <w:t xml:space="preserve">Quelle: </w:t>
      </w:r>
      <w:r>
        <w:t>https://mcp.opencaselaw.ch/entscheid/ge_gerichte_ATAS_1034_2023</w:t>
      </w:r>
    </w:p>
    <w:p>
      <w:r>
        <w:t>FR: GE_GERICHTE ATAS/1034/2023 du 21 décembre 2023</w:t>
      </w:r>
    </w:p>
    <w:p>
      <w:r>
        <w:t>IT: GE_GERICHTE ATAS/1034/2023 del 21 dicembre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3.1</w:t>
      </w:r>
    </w:p>
    <w:p>
      <w:r>
        <w:t>Le 1er janvier 2022, les modifications de la LAI et de la LPGA du 19 juin 2020 (développement continu de l’AI ; RO 2021 705), y compris les ordonnances correspondantes, sont entrées en vigueur.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w:t>
      </w:r>
    </w:p>
    <w:p>
      <w:r>
        <w:t>A/4006/2022 - 7/23 -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w:t>
      </w:r>
    </w:p>
    <w:p>
      <w:r>
        <w:rPr>
          <w:b/>
        </w:rPr>
        <w:t>E. 3.2</w:t>
      </w:r>
    </w:p>
    <w:p>
      <w:r>
        <w:t>En l’occurrence, la décision litigieuse a, certes, été rendue après le 1er janvier 2022. Toutefois, l’éventuel droit à la rente serait né avant le 31 décembre 2021. Par conséquent, les dispositions applicables seront citées dans leur teneur en vigueur jusqu’au 31 décembre 2021.</w:t>
      </w:r>
    </w:p>
    <w:p>
      <w:r>
        <w:rPr>
          <w:b/>
        </w:rPr>
        <w:t>E. 4</w:t>
      </w:r>
    </w:p>
    <w:p>
      <w:r>
        <w:t>Le délai de recours est de 30 jours (art. 56 LPGA ; art. 62 al. 1 de la loi sur la procédure administrative du 12 septembre 1985 [LPA - E 5 10]). Interjeté dans la forme et le délai prévus par la loi, le recours est recevable.</w:t>
      </w:r>
    </w:p>
    <w:p>
      <w:r>
        <w:rPr>
          <w:b/>
        </w:rPr>
        <w:t>E. 5</w:t>
      </w:r>
    </w:p>
    <w:p>
      <w:r>
        <w:t>Le litige porte sur le bien-fondé du refus de l’intimé de rejeter la demande de prestations de la recourante, singulièrement sur la valeur probante de l’expertise du SMEX.</w:t>
      </w:r>
    </w:p>
    <w:p>
      <w:r>
        <w:rPr>
          <w:b/>
        </w:rPr>
        <w:t>E. 6.1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 ce sont les conséquences économiques objectives de l'incapacité fonctionnelle qu'il</w:t>
      </w:r>
    </w:p>
    <w:p>
      <w:r>
        <w:t>A/4006/2022 - 8/23 -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rPr>
          <w:b/>
        </w:rPr>
        <w:t>E. 6.2.1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I 786/04 du 19 janvier 2006 consid. 3.1). La reconnaissance de l’existence d’une atteinte à la santé psychique suppose la présence d’un diagnostic émanant d’un expert (psychiatre) et s’appuyant selon les règles de l’art sur les critères d’un système de classification reconnu, tel le CIM ou le DSM-IV (ATF 143 V 409 consid. 4.5.2 ; ATF 141 V 281 consid. 2.1 et 2.1.1; ATF 130 V 396 consid. 5.3 et 6).</w:t>
      </w:r>
    </w:p>
    <w:p>
      <w:r>
        <w:rPr>
          <w:b/>
        </w:rPr>
        <w:t>E. 6.2.2</w:t>
      </w:r>
    </w:p>
    <w:p>
      <w:r>
        <w:t>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w:t>
      </w:r>
    </w:p>
    <w:p>
      <w:r>
        <w:t>A/4006/2022 - 9/23 - psychiques entrent déjà en considération en tant que comorbidité importante du point de vue juridique si, dans le cas concret, on doit leur attribuer un effet limitatif sur les ressources (ATF 143 V 418 consid. 8.1).</w:t>
      </w:r>
    </w:p>
    <w:p>
      <w:r>
        <w:rPr>
          <w:b/>
        </w:rPr>
        <w:t>E. 6.2.3</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ATF 145 V 215 consid. 7). En l’absence d’un diagnostic psychiatrique, une telle appréciation n’a pas non plus à être effectuée (arrêt du Tribunal fédéral 9C_176/2018 du 16 août 2018 consid. 3.2.2).</w:t>
      </w:r>
    </w:p>
    <w:p>
      <w:r>
        <w:rPr>
          <w:b/>
        </w:rPr>
        <w:t>E. 6.3</w:t>
      </w:r>
    </w:p>
    <w:p>
      <w:r>
        <w:t>La dysthymie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Le trouble anxieux et dépressif mixte (F41.2 CIM-10) est retenu quand le sujet présente à la fois des symptômes anxieux et des symptômes dépressifs, sans prédominance nette des uns ou des autres et sans que l'intensité des uns ou des autres soit suffisante pour justifier un diagnostic séparé. Quand des symptômes anxieux et dépressifs sont présents simultanément avec une intensité suffisante pour justifier des diagnostics séparés, les deux diagnostics doivent être notés et on ne fait pas un diagnostic de trouble anxieux et dépressif mixte. Quant à l’état de stress post-traumatique (F43.1 CIM-10), il constitue une réponse différée ou prolongée à une situation ou à un événement stressant (de courte ou de longue durée), exceptionnellement menaçant ou catastrophique et qui provoquerait des symptômes évidents de détresse chez la plupart des individus. Des facteurs prédisposants, tels que certains traits de personnalité (par exemple compulsive, asthénique) ou des antécédents de type névrotique, peuvent favoriser la survenue du syndrome ou aggraver son évolution; ces facteurs ne sont pas toutefois nécessaires ou suffisants pour expliquer la survenue du syndrome. Les symptômes typiques comprennent la reviviscence répétée de l'événement traumatique, dans des souvenirs envahissants (« flashbacks »), des rêves ou des cauchemars ; ils surviennent dans un contexte durable d'anesthésie psychique « et d'émoussement émotionnel, de détachement par rapport aux autres, d'insensibilité à l'environnement, d'anhédonie et d'évitement des activités ou des situations pouvant réveiller le souvenir du traumatisme. Les symptômes précédents s'accompagnent habituellement d'un hyperéveil neuro-végétatif, avec hypervigilance, état de qui-vive » et insomnie, associés fréquemment à une</w:t>
      </w:r>
    </w:p>
    <w:p>
      <w:r>
        <w:t>A/4006/2022 - 10/23 - anxiété, une dépression, ou une idéation suicidaire. La période séparant la survenue du traumatisme et celle du trouble peut varier de quelques semaines à quelques mois. L'évolution est fluctuante, mais se fait vers la guérison dans la plupart des cas. Dans certains cas, le trouble peut présenter une évolution chronique, durer de nombreuses années, et entraîner une modification durable de la personnalité (F62.0).</w:t>
      </w:r>
    </w:p>
    <w:p>
      <w:r>
        <w:rPr>
          <w:b/>
        </w:rPr>
        <w:t>E. 7.1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Il y a lieu de se fonder sur une grille d’analyse comportant divers indicateurs qui rassemblent les éléments essentiels propres aux troubles de nature psychosomatique (ATF 141 V 281 consid. 4).  Catégorie « Degré de gravité fonctionnel » (ATF 141 V 281 consid. 4.3) A. Complexe « Atteinte à la santé » (consid. 4.3.1) Expression des éléments pertinents pour le diagnostic (consid. 4.3.1.1), succès du traitement et de la réadaptation ou résistance à cet égard (consid. 4.3.1.2), comorbidités (consid. 4.3.1.3). B. Complexe « Personnalité » (diagnostic de la personnalité, ressources personnelles ; consid. 4.3.2) C. Complexe « Contexte social » (consid. 4.3.3)  Catégorie « Cohérence » (aspects du comportement; consid. 4.4)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7.2</w:t>
      </w:r>
    </w:p>
    <w:p>
      <w:r>
        <w:t>Selon la jurisprudence rendue jusque-là à propos des dépressions légères à moyennes, les maladies en question n'étaient considérées comme invalidantes que lorsqu'on pouvait apporter la preuve qu'elles étaient « résistantes à la thérapie »</w:t>
      </w:r>
    </w:p>
    <w:p>
      <w:r>
        <w:t>A/4006/2022 - 11/23 - (ATF 140 V 193 consid 3.3 ; arrêts du Tribunal fédéral 9C_841/2016 du 8 février 2017 consid. 3.1 et 9C_13/2016 du 14 avril 2016 consid. 4.2). Dans l'ATF 143 V 409 consid. 4.2, le Tribunal fédéral a rappelé que le fait qu'une atteinte à la santé psychique puisse être influencée par un traitement ne suffit pas, à lui seul, pour nier le caractère invalidant de celle-ci;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8.1</w:t>
      </w:r>
    </w:p>
    <w:p>
      <w:r>
        <w:t>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permettent d’estimer la capacité de travail réellement réalisable, en tenant compte des facteurs incapacitants externes d’une part et du potentiel de compensation (ressources) d’autre part (cf. arrêt du Tribunal fédéral 8C_286/2020 du 6 août 2020 consid. 4 et la référence).</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w:t>
      </w:r>
    </w:p>
    <w:p>
      <w:r>
        <w:t>A/4006/2022 - 12/23 -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Il faut en outre que le médecin dispose de la formation spécialisée nécessaire et de compétences professionnelles dans le domaine d’investigation (arrêt du Tribunal fédéral 9C_555/2017 du 22 novembre 2017 consid. 3.1 et les références).</w:t>
      </w:r>
    </w:p>
    <w:p>
      <w:r>
        <w:rPr>
          <w:b/>
        </w:rPr>
        <w:t>E. 8.3</w:t>
      </w:r>
    </w:p>
    <w:p>
      <w:r>
        <w:t>Sans remettre en cause le principe de la libre appréciation des preuves, le Tribunal fédéral des assurances a posé des lignes directrices en ce qui concerne la manière d'apprécier certains types d'expertises ou de rapports médicaux.</w:t>
      </w:r>
    </w:p>
    <w:p>
      <w:r>
        <w:rPr>
          <w:b/>
        </w:rPr>
        <w:t>E. 8.3.1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w:t>
      </w:r>
    </w:p>
    <w:p>
      <w:r>
        <w:rPr>
          <w:b/>
        </w:rPr>
        <w:t>E. 8.3.2</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du règlement sur l’assurance-invalidité du 17 janvier 1961 [RAI - RS 831.201]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8.3.3</w:t>
      </w:r>
    </w:p>
    <w:p>
      <w:r>
        <w:t>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w:t>
      </w:r>
    </w:p>
    <w:p>
      <w:r>
        <w:t>A/4006/2022 - 13/23 -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U 365/06 du 26 janvier 2007 consid. 4.1).</w:t>
      </w:r>
    </w:p>
    <w:p>
      <w:r>
        <w:rPr>
          <w:b/>
        </w:rPr>
        <w:t>E. 8.3.4</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9.2</w:t>
      </w:r>
    </w:p>
    <w:p>
      <w:r>
        <w:t>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w:t>
      </w:r>
    </w:p>
    <w:p>
      <w:r>
        <w:t>A/4006/2022 - 14/23 - dans la mesure où cela est raisonnablement exigible, les preuves commandées par la nature du litige et des faits invoqués (ATF 138 V 86 consid. 5.2.3 ;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9.3</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 suisse du 18 avril 1999 (Cst. - RS 101 ; SVR 2001 IV n. 10 p. 28 consid. 4b), la jurisprudence rendue sous l’empire de l’art. 4 aCst. étant toujours valable (ATF 124 V 90 consid. 4b ; ATF 122 V 157 consid. 1d).</w:t>
      </w:r>
    </w:p>
    <w:p>
      <w:r>
        <w:rPr>
          <w:b/>
        </w:rPr>
        <w:t>E. 9.4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t>A/4006/2022 - 15/23 - Le renvoi à l’administration apparaît également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10.1</w:t>
      </w:r>
    </w:p>
    <w:p>
      <w:r>
        <w:t>En l’espèce, il ressort des pièces du dossier que la recourante, originaire de Bosnie-Herzégovine, a vécu les guerres de Yougoslavie dans les années 1990. Des soldats serbes ont notamment arrêté toute sa famille. Si la recourante, ses frères et sœurs ainsi que leur mère ont été relâchés, leur père a été emmené dans un camion, avant d’être tué. Son cadavre a été retrouvé en 1999. C’est pendant la guerre que la recourante s’est mariée à l’âge de 14 ans. Elle a été mère pour la première fois à 16 ans et pour la seconde fois, à 18 ans. Leur maison familiale a été brûlée et la famille a dû vivre, dans une chambre, dans une maison partagée avec d’autres. La recourante est arrivée en Suisse en 1999 et un état de stress post-traumatique, ayant nécessité un suivi pendant deux ans, a été diagnostiqué à ce moment (cf. expertise du CEMED p. 7 ; rapports du Dr B______ des 8 mai et 26 juillet 2018). Son époux bénéficie d’une rente d’invalidité entière (invalidité de 73%) en raison de dorsalgies et de troubles psychiques. Il a également été suivi par le Dr B______ (cf. expertise du CEMED p. 7 et 8 notamment). Selon sa psychiatre traitante, la recourante a une personnalité qui parvient à bien repousser les souvenirs traumatisants et à refouler les émotions tristes et douloureuses. Elle parvient alors à vivre avec ses souvenirs, mais selon les jours et selon les périodes, elle ne parvient plus à maintenir cette défense (cf. rapport de la Dre E______ du 5 juillet 2021). Selon toute vraisemblance, dans ces phases où elle ne parvient plus à maintenir la défense, elle a développé plusieurs épisodes dépressifs et anxieux, et a revu le Dr B______. C’était le cas en 2011 (symptomatologie dépressive en lien avec son passé), en 2014 (problèmes professionnels et avec licenciement) et en 2018 (problèmes professionnels, plus particulièrement avec sa directrice ; cf. expertise du CEMED p. 3). En particulier, suite à des problèmes relationnels avec sa directrice, la recourante a été totalement incapable de travailler, de janvier 2018 à fin août 2018, étant précisé qu’elle a été licenciée pour fin mai 2018. L’assurance perte de gain de son ex-employeur lui a versé les indemnités journalières. Afin de se prononcer sur la suite à donner au cas de la recourante, l’assurance perte de gain a mandaté la Dre C______ pour un examen psychiatrique. Cette dernière a alors retenu, dans son rapport du 20 juin 2018, un trouble dépressif récurrent, épisode actuel moyen,</w:t>
      </w:r>
    </w:p>
    <w:p>
      <w:r>
        <w:t>A/4006/2022 - 16/23 - tout en précisant que l’intensité avait vraisemblablement été plus sévère que celle observée lors de l’examen clinique. La psychiatre a également considéré que l’anxiété faisait partie du tableau et ne constituait pas un diagnostic spécifique. Si la recourante décrivait certes des cauchemars et des flash-backs, la Dre C______ ne retenait pas de diagnostic d’état de stress post-traumatique mais reconnaissait l’impact de ce passé douloureux sur la thymie de la recourante, considérant que celui-ci majorait l’intensité de l’état dépressif (expertise du CEMED p. 10). La recourante a repris une activité professionnelle à 100% de septembre à décembre 2018, avant de réduire le taux d’activité à 50%. Les motifs ayant conduit à la réduction du taux d’activité semblent liés à l’état de santé de la recourante (réplique p. 4 ; rapport du Dr D______ du 15 octobre 2019), notamment en raison de la fatigue (expertise du SMEX p. 14 et rapport établi les 24 février et 23 mars 2020 suite entretien d’évaluation [IPT] avec l’OAI) et des douleurs (rapport établi les 24 février et 23 mars 2020 suite entretien d’évaluation [IPT] avec l’OAI). Les médecins traitants consultés dans ce contexte ont alors posé les diagnostics d’état anxio-dépressif, état de stress post-traumatique et tendinite de la coiffe des rotateurs droite (cf. rapport du Dr D______ du 15 octobre 2019), dysthymie, trouble anxieux-dépressif mixte et état de stress post-traumatique (cf. rapport de la Dre E______ du 6 janvier 2020) ou encore de lombocruralgies L3 gauche sur nodule disco-ostéophytaire, en plus des diagnostics déjà posés le 15 octobre 2019 (cf. rapport du Dr D______ du 8 juillet 2020). Depuis janvier 2019, la recourante travaille à 50%. Elle sollicite une demi-rente pour couvrir la perte de gain consécutive à l’incapacité de gain de 50%. La question qui se pose est, dans ce contexte, celle de savoir si la capacité de travail de la recourante est effectivement de 50% pour des raisons médicales ou si elle est au contraire capable d’exercer une activité lucrative à 100%, que ce soit l’activité habituelle ou une activité adaptée. C’est pour trancher cette question que l’OAI a mandaté le SMEX pour une expertise bi-disciplinaire rhumatologique et psychiatrique. C’est donc la valeur probante du rapport du SMEX du 16 juin 2022 qu’il convient d’examiner.</w:t>
      </w:r>
    </w:p>
    <w:p>
      <w:r>
        <w:rPr>
          <w:b/>
        </w:rPr>
        <w:t>E. 10.2</w:t>
      </w:r>
    </w:p>
    <w:p>
      <w:r>
        <w:t>On peut, tout d’abord, constater que le rapport précité du 16 juin 2022 remplit plusieurs des exigences auxquelles la jurisprudence soumet la valeur probante d’un tel document. En effet, il contient une anamnèse, le résumé des pièces principales du dossier, les indications subjectives de la recourante, des observations cliniques, ainsi qu'une discussion générale du cas.</w:t>
      </w:r>
    </w:p>
    <w:p>
      <w:r>
        <w:rPr>
          <w:b/>
        </w:rPr>
        <w:t>E. 10.2.1</w:t>
      </w:r>
    </w:p>
    <w:p>
      <w:r>
        <w:t>Sur le fond, le Dr G______, psychiatre, n’a pas retenu de diagnostics incapacitants du point de vue psychique. À titre de diagnostic non incapacitant, il a évoqué un trouble anxieux et dépressif mixte. Il a notamment expliqué qu’il s’agissait d’une association de symptômes dépressifs et anxieux mineurs,</w:t>
      </w:r>
    </w:p>
    <w:p>
      <w:r>
        <w:t>A/4006/2022 - 17/23 - largement répandus dans la population générale et n’ayant aucun impact sur la capacité de travail. Il a, en outre, relevé que l’examen clinique ne retrouvait ni ralentissement psychomoteur, ni tristesse pathologique, ni trouble de la concentration ou de l’attention, ni fatigue ou fatigabilité, ni symptôme neurovégétatif en lien avec un état anxieux. Les éléments constitutifs d’un état de stress post-traumatique n’étaient pas non plus retrouvés. En effet, il n’y avait ni flashback, ni trouble du sommeil, ni cauchemar, ni comportement d’évitement, ni hypervigilance. Enfin, il n’avait pas retrouvé de conflit émotionnel ou de problèmes psychosociaux suffisamment importants pour être considérés comme la cause essentielle du trouble, de sorte que les critères du syndrome douloureux somatoforme n’étaient pas retrouvés. L’expert psychiatre s’est également prononcé sur les rapports et expertises au dossier : - le diagnostic de trouble dépressif récurrent, épisode actuel moyen, posé dans l’expertise du 20 juin 2018, était vraisemblablement entré en rémission dès l’été 2018, ce qui était confirmé par le fait que la recourante avait choisi de travailler à 100% de septembre à fin décembre 2018 avant de négocier, elle- même, un emploi à 50%. La rémission de ce trouble était également confirmée par le fait que la recourante n’avait pas contesté l’arrêt des prestations de l’assurance perte de gain. De plus, il n’y avait pas eu de modification significative du traitement alors qu’un trouble dépressif incapacitant et résistant devrait entraîner une stratégie thérapeutique consistant à augmenter au maximum les doses de l’antidépresseur prescrit. En cas d’échec, il convenait de modifier le traitement. - Dans son rapport du 6 février 2020, la psychiatre traitante retenait comme diagnostics incapacitants une dysthymie et un trouble anxieux et dépressif mixte et comme diagnostic non incapacitant un état de stress post-traumatique. Cette dernière atteinte apparaissait généralement dans les six mois après la survenue des événements traumatisants. Or, la recourante avait pu fuir la guerre, s’installer dans une zone démilitarisée avant d’immigrer en Suisse, où elle avait travaillé pendant des années, tout en s’occupant de ses enfants. Elle avait souffert d’un épisode dépressif en 2014, pour lequel elle avait suivi un traitement pendant six mois avant d’arrêter tout suivi. Ce n’était qu’après un conflit avec sa directrice, en 2018, qu’elle avait repris le suivi psychiatrique. Par conséquent, les critères du syndrome de stress post-traumatique n’étaient pas réunis. En outre, la définition de la CIM-10 du trouble anxieux et dépressif mixte excluait la dépression anxieuse persistante ou dysthymie. En tout état, ces deux troubles présentaient une sévérité ou une durée qui n’était pas suffisante pour justifier un diagnostic d’épisode dépressif léger. En d’autres termes, ces diagnostics étaient légers, voire mineurs, et n’entraînaient pas de répercussions sur la capacité de travail. S’agissant de la capacité de travail, elle oscillait entre 50 et 80% alors que dans les deux autres rapports, datés des</w:t>
      </w:r>
    </w:p>
    <w:p>
      <w:r>
        <w:t>A/4006/2022 - 18/23 - 5 octobre 2020 et 5 juillet 2021, elle était estimée à 50%, avec des diagnostics et traitements restés inchangés. Le trouble anxieux et dépressif mixte comportait des symptômes, dont l’intensité n’était pas suffisante pour justifier un diagnostic séparé de dysthymie ou de trouble anxieux caractérisé. La faible sévérité de ces troubles n’entraînait, par conséquent, pas d’impact sur la capacité de travail.</w:t>
      </w:r>
    </w:p>
    <w:p>
      <w:r>
        <w:rPr>
          <w:b/>
        </w:rPr>
        <w:t>E. 10.2.2</w:t>
      </w:r>
    </w:p>
    <w:p>
      <w:r>
        <w:t>Quant à la Dre F______, rhumatologue, elle n’a retenu aucun diagnostic incapacitant. À titre de diagnostics sans répercussions sur la capacité de travail, elle a évoqué des lombalgies communes, une possible chondropathie rotulienne et une obésité avec IMC à 30,2 kg/m2. L’examen physique ne retrouvait pas de raideur lombaire, ni de signe de souffrance radiculaire. L’examen des genoux évoquait une chondropathie rotulienne. Par ailleurs, l’obésité pouvait accentuer les lombalgies et gonalgies. Enfin, les points fibromyalgiques étaient négatifs. Les atteintes précitées n’étaient pas incapacitantes dans l’activité de femme de chambre.</w:t>
      </w:r>
    </w:p>
    <w:p>
      <w:r>
        <w:rPr>
          <w:b/>
        </w:rPr>
        <w:t>E. 10.3.1</w:t>
      </w:r>
    </w:p>
    <w:p>
      <w:r>
        <w:t>Si les conclusions des médecins du SMEX paraissent, de prime abord, convaincantes, force est toutefois de constater qu’elles résultent de l’analyse d’un dossier et d’un examen clinique lacunaires. En effet, il est établi que la recourante a été incapable de travailler du 12 janvier 2018 au 31 août 2018, ayant par ailleurs été licenciée pour le 31 mai 2018. Dans son rapport du 20 juin 2018, la dre C______, expert psychiatre, rejoignait l’avis du médecin traitant qui envisageait une reprise du travail progressive, dès le 1er août 2018. Elle nuançait, toutefois, cette reprise en considérant que, dans un premier temps, l’idéal serait d’effectuer des extras ponctuels (expertise du CEMED p. 11). Le pronostic était bon, mais du temps devait être laissé à l’assurée pour qu’elle puisse se stabiliser. Les limitations étaient alors encore trop importantes pour qu’elle puisse s’engager dans la recherche d’une activité professionnelle puis dans l’exercice de celle-ci (expertise du CEMED p. 12). Force est de constater que rien dans ce rapport d’expertise ne permet de considérer que la recourante était médicalement apte à reprendre une activité professionnelle à 100%, à compter du 15 septembre 2018. Une capacité de travail de 100%, à compter du 15 septembre 2018, ressort en revanche d’une note téléphonique du 4 juillet 2018. Cependant, dans la mesure où il s’agit d’un document purement interne, consignant certes les déclarations de l’expert psychiatre du CEMED, mais telles qu’elles ont été comprises, interprétées et résumées par le gestionnaire de l’assureur perte de gain (voir ATAS/166/2017 du 6 mars 2017 consid. 8 a/bb et ATAS/827/2014 du 30 juin 2014 consid. 10), ladite note ne saurait être prise en considération pour apprécier la date à partir de laquelle la recourante aurait recouvré une capacité de travail entière dans son activité habituelle, ce d’autant moins que la date en question</w:t>
      </w:r>
    </w:p>
    <w:p>
      <w:r>
        <w:t>A/4006/2022 - 19/23 - semble résulter d’un accord entre la psychiatre et la gestionnaire de l’assurance perte de gain (« nous nous mettons d’accord sur une reprise à 100% au</w:t>
      </w:r>
    </w:p>
    <w:p>
      <w:r>
        <w:rPr>
          <w:b/>
        </w:rPr>
        <w:t>E. 10.3.2</w:t>
      </w:r>
    </w:p>
    <w:p>
      <w:r>
        <w:t>Sur le plan somatique, le Dr D______ a évoqué des lombocruralgies L3 sur nodule disco-ostéophytaire dans son rapport du 8 juillet 2020. Il a également mentionné une infiltration dans son rapport du 8 juillet 2020. Il est néanmoins insolite que le dossier soumis au SMEX ne comporte aucun rapport d’imagerie à</w:t>
      </w:r>
    </w:p>
    <w:p>
      <w:r>
        <w:t>A/4006/2022 - 20/23 - ce propos, sachant que le terme « ostéophyte » décrit une excroissance osseuse et qu’une telle atteinte est de toute évidence objectivable. Il est tout aussi étonnant que le SMEX n’ait pas jugé nécessaire de soumettre la recourante à des examens radiologiques, en l’absence de tels examens réalisés par le passé. Les lombalgies ont, par ailleurs, nécessité une infiltration, mais aucune investigation à ce propos n’a été effectuée. Les mêmes remarques peuvent être faites en lien avec le diagnostic de possible chondropathie rotulienne posé par l’expert radiologue. Il s’agit là d’une dégénérescence du cartilage de la rotule, visible par arthroscopie. Or, de tels examens auraient de toute évidence permis de poser un diagnostic précis au degré de la vraisemblance prépondérante et non d'évoquer une simple possibilité.</w:t>
      </w:r>
    </w:p>
    <w:p>
      <w:r>
        <w:rPr>
          <w:b/>
        </w:rPr>
        <w:t>E. 10.3.3</w:t>
      </w:r>
    </w:p>
    <w:p>
      <w:r>
        <w:t>Dans son rapport, l’expert psychiatre a nié le diagnostic d’état de stress post-traumatique, considérant que les critères pour le poser n’étaient pas réalisés. En effet, une telle atteinte apparaissait généralement dans les six mois après la survenue des événements traumatisants. Or, la recourante avait pu fuir la guerre, s’installer dans une zone démilitarisée avant d’immigrer en Suisse, où elle avait travaillé pendant des années, tout en s’occupant de ses enfants. Elle avait souffert d’un épisode dépressif en 2014, pour lequel elle avait suivi un traitement pendant six mois avant d’arrêter tout suivi. Ce n’était qu’après un conflit avec sa directrice, en 2018, qu’elle avait repris le suivi psychiatrique. De toute évidence, l’expert psychiatre n’a pas examiné en détail les pièces du dossier. S’il l’avait fait, il aurait constaté que la recourante était suivie, depuis son arrivée en Suisse en 1999, pour un état de stress post-traumatique (cf. rapport du Dr B______ du 26 juillet 2018 : « suivie à son arrivée pour un état de stress post- traumatique » ; rapport du Dr B______ du 8 mai 2018 : « suivie en 1999 pour état de stress post-traumatique pdt 2 ans, puis en 2014 pour état dépressif réactionnel » et « suivie à son arrivée en CH de 1999 à 2001, [l’assurée] a trouvé et conservé un travail régulier malgré des problèmes de santé physiques et psychologiques »). Ainsi, le diagnostic d’état de stress post-traumatique était déjà évoqué en 1999 et n’a pas été nouvellement posé, suite à l’arrêt de travail de la recourante en janvier 2018. Par ailleurs, la Dre E______ a expliqué, dans son rapport du 5 juillet 2021, que « chez beaucoup de personnes ayant vécu des traumatismes de guerre, avec le temps, il y a une recrudescence des souvenirs qui influencent leur état. [La recourante] a une personnalité qui parvient bien à repousser les souvenirs traumatisants et à refouler les émotions tristes. Elle parvient alors à vivre avec ses souvenirs mais il y a des jours, ou des périodes, pendant lesquels elle ne parvient plus à maintenir cette défense ». À nouveau, les experts du SMEX n’ont pas demandé des informations complémentaires à ce propos et ils semblent être partis d’une prémisse erronée, à</w:t>
      </w:r>
    </w:p>
    <w:p>
      <w:r>
        <w:t>A/4006/2022 - 21/23 - savoir que le diagnostic d’état de stress post-traumatique n’avait été posé que dans le cadre de l’arrêt de travail, dès janvier 2018.</w:t>
      </w:r>
    </w:p>
    <w:p>
      <w:r>
        <w:rPr>
          <w:b/>
        </w:rPr>
        <w:t>E. 10.3.4</w:t>
      </w:r>
    </w:p>
    <w:p>
      <w:r>
        <w:t>S’y ajoute le fait que le rapport d’expertise du SMEX comporte plusieurs contradictions, sur des points importants. Ainsi, par exemple, selon l’expertise (p. 6), la recourante ne rapporterait pas de trouble du sommeil, alors qu’elle a elle- même décrit, dans le questionnaire de la personne assurée (annexe 2 de l’expertise) « j’ai des difficultés à m’endormir la nuit, je ressens beaucoup d’angoisses et avec le temps cela s’empire. De plus, j’ai des pensées du génocide de Srebrenica et de tout ce que j’ai vécu durant cette période ». Or, la fatigue est l’un des symptômes principaux évoqués par la recourante ! Enfin, la recourante reproche aux experts de ne pas avoir retranscrit, puis pris en considération plusieurs de ses déclarations, telles que la fatigue, les troubles du sommeil, des idées suicidaires, etc.</w:t>
      </w:r>
    </w:p>
    <w:p>
      <w:r>
        <w:rPr>
          <w:b/>
        </w:rPr>
        <w:t>E. 10.4</w:t>
      </w:r>
    </w:p>
    <w:p>
      <w:r>
        <w:t>De son côté, l’intimé expose que les experts ont retenu l’absence de limitations uniformes dans tous les domaines de la vie, la recourante maintenant ses activités et ressources malgré son passé difficile. De toute évidence, une telle argumentation ne saurait être suivie dans le cas de la recourante, car cela reviendrait à retenir contre elle son activité à temps partiel. En effet, dès l’instant où un assuré exerce une activité à temps partiel, c’est qu’il dispose de ressources suffisante pour surmonter son atteinte, à tout le moins jusqu’à un certain stade. Toutefois, dans un tel cas, se pose la question de savoir s’il dispose encore de suffisamment de ressources pour augmenter son taux d’activité à 100% ou si lesdites ressources sont en réalité épuisées par l’exercice d’une activité à temps partiel. Or, l’expertise du SMEX ne répond pas à cette question. Compte tenu des critiques qui précèdent, le rapport d’expertise du SMEX ne saurait fonder une base fiable pour se prononcer sur la capacité de travail de la recourante. En effet, pour pouvoir se prononcer sur la demande de prestations de la recourante, l’OAI aurait dû tout d’abord connaître les raisons pour lesquelles la recourante a réduit son activité de 100% à 50%. Selon les pièces du dossier et les explications de la recourante, cette réduction de l’activité aurait été effectuée en raison de l’état de santé de la recourante (fatigue et douleurs lombaires). Toutefois, cette question n’a pas été investiguée, par le biais de questions précises aux médecins traitants ou lors d’un entretien téléphonique avec eux, les médecins du SMEX s’étant limités à émettre des suppositions. Force est ainsi de considérer que l’intimé a constaté les faits de manière sommaire, sur la base d’une expertise présentant des lacunes. Dans de telles circonstances, il n’appartient pas au juge de suppléer aux carences administratives, de sorte que le dossier sera renvoyé à l’intimé pour instruction complémentaire sous la forme d’une expertise. Il appartiendra alors aux experts de déterminer les motifs pour lesquels la recourante a réduit son taux d’activité à</w:t>
      </w:r>
    </w:p>
    <w:p>
      <w:r>
        <w:t>A/4006/2022 - 22/23 - 50%, dès le mois de janvier 2019 et de se prononcer, le cas échant, sur l’évolution dans le temps de la capacité de travail. 11. La recourante, qui obtient partiellement gain de cause et est assistée d’un mandataire professionnellement qualifié, a droit à des dépens, fixés à CHF 1'500.- (art. 61 let. g LPGA). 12. La procédure en matière d'assurance-invalidité n'étant pas gratuite (art. 69 al. 1bis LAI), un émolument de CHF 200.- est mis à la charge de l'intimé.</w:t>
      </w:r>
    </w:p>
    <w:p>
      <w:r>
        <w:t>A/4006/2022 - 23/23 - PAR CES MOTIFS, LA CHAMBRE DES ASSURANCES SOCIALES : Statuant À la forme :</w:t>
      </w:r>
    </w:p>
    <w:p>
      <w:r>
        <w:rPr>
          <w:b/>
        </w:rPr>
        <w:t>E. 15</w:t>
      </w:r>
    </w:p>
    <w:p>
      <w:r>
        <w:t>octobre 2019, tout en concluant qu’« il apparaît donc que ce sont des motifs médicaux qui justifient ce taux d’activité de 50% » (rapport du 15 octobre 2019). La recourante a également donné quelques précisions sur son état de santé fin 2018. Ainsi, au cours de l’expertise du SMEX, elle a expliqué s’être sentie tellement fatiguée à l’époque qu’elle avait demandé à réduire son taux d’activité (expertise du SMEX p. 14). Lors de son entretien d’évaluation à l’OAI, la recourante a encore évoqué des douleurs au dos, en sus de la fatigue. Si elle essaie d’augmenter son taux d’activité, ses douleurs et les symptômes apparaissent, les douleurs physiques engendrant un épuisement (rapport établi les 24 février et 23 mars 2020 suite entretien d’évaluation [IPT] avec l’OAI). À ce stade, la chambre de céans constate que les médecins traitants de la recourante n’ont jamais été interrogés sur la situation médicale de la recourante, au cours du dernier trimestre 2018, lorsqu’elle travaillait à 100%. Il en va de même de l’employeur actuel, qui n’a jamais été interrogé en lien avec l’activité professionnelle de la recourante. Or, il est question d’un arrêt de travail d’un mois en 2019 (expertise du SMEX p. 14). Cet aspect n’a toutefois pas été investigué plus avant. Aucune information n’a été demandée à ce propos, que ce soit à l’employeur actuel ou aux médecins traitants. Au vu de ce qui précède, la chambre de céans peine à comprendre sur quelle base les experts du SMEX ont considéré que la recourante avait diminué son activité de sa propre initiative, laissant sous-entendre que cette décision aurait été prise par convenance personnelle et non en raison de son état de santé.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