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ATAS/1034/2021 vom 5. Oktober 2021</w:t>
      </w:r>
    </w:p>
    <w:p>
      <w:r>
        <w:t>GE Cour de justice, 2021-10-05, FR</w:t>
      </w:r>
    </w:p>
    <w:p>
      <w:r>
        <w:rPr>
          <w:b/>
        </w:rPr>
        <w:t xml:space="preserve">Quelle: </w:t>
      </w:r>
      <w:r>
        <w:t>https://mcp.opencaselaw.ch/entscheid/ge_gerichte_ATAS_1034_2021</w:t>
      </w:r>
    </w:p>
    <w:p>
      <w:r>
        <w:t>FR: GE_GERICHTE ATAS/1034/2021 du 5 octobre 2021</w:t>
      </w:r>
    </w:p>
    <w:p>
      <w:r>
        <w:t>IT: GE_GERICHTE ATAS/1034/2021 del 5 ottobre 2021</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rPr>
          <w:b/>
        </w:rPr>
        <w:t>E. 2</w:t>
      </w:r>
    </w:p>
    <w:p>
      <w:r>
        <w:t>Sa compétence pour juger du cas d’espèce est ainsi établie.</w:t>
      </w:r>
    </w:p>
    <w:p>
      <w:r>
        <w:rPr>
          <w:b/>
        </w:rPr>
        <w:t>E. 3</w:t>
      </w:r>
    </w:p>
    <w:p>
      <w:r>
        <w:t>À teneur de l'art. 1 al. 1 LAI, les dispositions de la LPGA s'appliquent à l'assurance- invalidité, à moins que la loi n'y déroge expressément.</w:t>
      </w:r>
    </w:p>
    <w:p>
      <w:r>
        <w:rPr>
          <w:b/>
        </w:rPr>
        <w:t>E. 4</w:t>
      </w:r>
    </w:p>
    <w:p>
      <w:r>
        <w:t>Le 1er janvier 2021 est entrée en vigueur la modification du 21 juin 2019 de la LPGA. Toutefois, dans la mesure où le recours était, au 1er janvier 2021, pendant devant la chambre de céans, il reste soumis à l'ancien droit (cf. art. 83 LPGA).</w:t>
      </w:r>
    </w:p>
    <w:p>
      <w:r>
        <w:rPr>
          <w:b/>
        </w:rPr>
        <w:t>E. 5</w:t>
      </w:r>
    </w:p>
    <w:p>
      <w:r>
        <w:t>Le délai de recours est de trente jours (art. 56 LPGA; art. 62 al. 1 de la loi sur la procédure administrative du 12 septembre 1985 [LPA - E 5 10]). Interjeté dans la forme et le délai prévus par la loi, le recours est recevable.</w:t>
      </w:r>
    </w:p>
    <w:p>
      <w:r>
        <w:rPr>
          <w:b/>
        </w:rPr>
        <w:t>E. 6</w:t>
      </w:r>
    </w:p>
    <w:p>
      <w:r>
        <w:t>Le litige porte sur la question de savoir à partir de quand la recourante a recouvré une pleine capacité de travail avec diminution de rendement de 20%, ainsi que sur le calcul du taux d'invalidité.</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w:t>
      </w:r>
    </w:p>
    <w:p>
      <w:r>
        <w:t>A/905/2020 - 8/20 - celle-ci n’est pas objectivement surmontable (al. 2 en vigueur dès le 1er janvier 2008).</w:t>
      </w:r>
    </w:p>
    <w:p>
      <w:r>
        <w:rPr>
          <w:b/>
        </w:rPr>
        <w:t>E. 8</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9</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10</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A/905/2020 - 9/20 -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A/905/2020 - 10/20 -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A/905/2020 - 11/20 - sociales, un principe selon lequel l’administration ou le juge devrait statuer, dans le doute, en faveur de l’assuré (ATF 126 V 319 consid. 5a).</w:t>
      </w:r>
    </w:p>
    <w:p>
      <w:r>
        <w:rPr>
          <w:b/>
        </w:rPr>
        <w:t>E. 13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15</w:t>
      </w:r>
    </w:p>
    <w:p>
      <w:r>
        <w:t>a. En l'espèce, l’assurée a été victime d’un accident le 18 novembre 2012 à la suite duquel elle a souffert d’un traumatisme crânio-cérébral grave. Dans une première décision datée du 31 octobre 2017, l’OAI lui a refusé toute prestation, aux motifs, d’une part, que, même si sa capacité de travail était nulle du</w:t>
      </w:r>
    </w:p>
    <w:p>
      <w:r>
        <w:rPr>
          <w:b/>
        </w:rPr>
        <w:t>E. 18</w:t>
      </w:r>
    </w:p>
    <w:p>
      <w:r>
        <w:t>a. Il convient à ce stade d’examiner si les avis des Drs H______ et I______ des HUG du 1er décembre 2016, du Dr I______ du 9 mai 2017 et du Dr M______ du 22 juin 2018 permettent de s’écarter des conclusions du CEMed, selon lesquelles c'est à compter du 5 avril 2016 que sa capacité de travail est de 100%, avec baisse de rendement de 20%. Dans leur rapport du 10 juin 2016, les Drs H______ et I______ ont indiqué que les diagnostics avec effet sur la capacité de travail d’état anxio-dépressif, de céphalées post-traumatiques et de troubles neurocognitifs étaient tous présents depuis 2012. Ils ont également relevé que par rapport à une précédente évaluation effectuée le 30 novembre 2012, l’examen montrait la persistance de troubles exécutifs, d’un léger ralentissement attentionnel, de troubles de la mémoire verbale, ainsi que d’un léger défaut de la mémoire épisodique visuelle à long terme, et constaté une majoration des troubles de l’humeur, avec des éléments anxio-dépressifs et des ruminations. Ils ont ainsi évalué la capacité de travail à 60% dans une activité adaptée à ses limitations (fatigabilité importante, troubles mnésiques et exécutifs</w:t>
      </w:r>
    </w:p>
    <w:p>
      <w:r>
        <w:t>A/905/2020 - 14/20 - légers à modérés, céphalées, photosensibilité, troubles de l’humeur et état anxio- dépressif). Le 9 mai 2017, le Dr I______ a confirmé qu’en juin 2016, la symptomatologie psychiatrique de l'assurée était très présente et se répercutait de manière très importante sur son fonctionnement », précisant que le bilan psychiatrique de juin 2016 avait montré un fonctionnement altéré, potentiellement lié à une modification durable de la personnalité ou à une symptomatologie anxio-dépressive. Il a toutefois informé l’OAI que l’assurée avait cessé de consulter depuis lors. Dans son rapport du 22 juin 2018, le Dr M______ a indiqué que : « L'assurée présente un état dépressif d'intensité modérée. Un traitement psychiatrique et psychothérapeutique est entrepris auprès de moi-même. Actuellement, il n'y a pas de médication prescrite (l'indication à un traitement antidépresseur est présente mais la patiente a souhaité privilégier la psychothérapie). Le diagnostic est retenu sur la base des éléments suivants : la patiente présente une humeur triste avec une vision très négatives du monde et de l'avenir ainsi qu'une altération de l'estime de soi, une anhédonie partielle. Elle rapporte une baisse de l'énergie avec une diminution des activités. Elle présente des troubles de la concentration et une fatigabilité. Elle s'est isolée socialement par peur d'être critiquée ou rejetée, ce qu'elle vit même dans les situations sociales banales et informelles. L'appétit est sans particularité et le poids stable. Le sommeil est régulièrement perturbé par des cauchemars en lien avec son accident, ou la peur du rejet. Elle présente des idées de mort passives, alimentée par l'idée que si elle disparaissait, cela serait un soulagement pour ses proches, et par le désespoir de ne plus retrouver de vie normale. On relève aussi des symptômes anxieux marqués et très handicapants. Elle présente des pensées obsédantes sur les cicatrices au scalp et au front, vécues comme l'équivalent d'une mutilation. Elle craint la réaction de dégoût et de rejet que cela pourrait provoquer. Cela conduit à des comportements d'évitement très contraignants. Elle doit faire attention aux horaires d'affluences, à la luminosité, à ses vêtements, à la position des gens autour d'elle. Les expositions sont accompagnées de symptômes importants. Il est important de relever que les symptômes décrits se sont installés à la suite de son grave accident survenu en 2012 (où elle est victime d'un TCC sévère, reste incarcérée dans le véhicule et est abandonnée par les personnes qui l'accompagnaient). Cet accident est survenu alors que la patiente demandait de manière insistante à ce qu'on la laisse sortir du véhicule. L'abandon qu'elle a vécu dans une telle circonstance semble lié à la peur du rejet qu'elle présente de manière importante et participe à sa dépression. A ce sujet, il est difficilement compréhensible que l'on retrouve pas dans l'expertise médicale d'exploration claire de ces symptômes liés au traumatisme.</w:t>
      </w:r>
    </w:p>
    <w:p>
      <w:r>
        <w:t>A/905/2020 - 15/20 - On peut considérer, d'un point de vue psychiatrique, qu'elle présente des difficultés relationnelles importantes, une estime de soi fortement altérée, des troubles de l'attention et de la concentration et une résistance au stress fortement réduite. Actuellement cela représente une incapacité de travail de 50%, la capacité résiduelle est envisageable dans la mesure d'un environnement adapté ». b. Les experts du CEMed ont pris connaissance de ces rapports et les ont commentés le 15 mars 2021. Ils ont relevé que les descriptions du Dr M______, qui avait suivi l'assurée en 2018, apparaissaient relativement dramatiques, alors qu'au jour de leur examen, l'assurée relativisait beaucoup, voire invalidait ces notions ; elle ne se disait pas souffrir particulièrement de dépression et, n'y voyant plus de nécessité, elle avait arrêté son suivi chez le psychiatre en 2016, sans jamais avoir pris, ni qu'on lui ait proposé, de traitement médicamenteux. Ils ont ainsi confirmé que sur le plan psychique, l'assurée disposait de ressources suffisantes pour une activité professionnelle et qu'aucune limitation fonctionnelle de principe n'était constatée. Il y a lieu de rappeler qu'une amélioration de l'état de santé psychique de l'assurée en 2019, n'est pas contestée. Il est en revanche important de constater que les médecins du CEMed ne nient pas qu'il y ait eu une évolution positive entre 2018 et 2019. c. Il est vrai que l’assurée a cessé de consulter un spécialiste en 2016. Les Drs H______ et I______ parlent toutefois en juin 2016 de la persistance des troubles exécutifs et de la majoration des troubles de l’humeur avec des éléments anxio-dépressifs et des ruminations, et le Dr I______, en mai 2017, insiste sur les effets - très importants - de la symptomatologie psychiatrique sur le fonctionnement. Il importe de souligner que les médecins du CEMed ont eux-mêmes retenu que c’est à partir de l'expertise CEMed du 24 octobre 2019 qu’une pleine capacité de travail avec diminution de rendement de 20% pouvait être raisonnablement exigée. Il convient de considérer, au vu de ce qui précède, que l'assurée n’a recouvré une capacité de travail de 100% dans une activité adaptée avec une baisse de rendement de 20% que depuis octobre 2019. On peut par ailleurs admettre, au degré de vraisemblance requis par la jurisprudence, une capacité de travail de 50% depuis juin 2016 sur la base des rapports des Drs H______, I______ et M______ des 10 juin 2016, 9 mai 2017 et 22 juin 2018.</w:t>
      </w:r>
    </w:p>
    <w:p>
      <w:r>
        <w:rPr>
          <w:b/>
        </w:rPr>
        <w:t>E. 19</w:t>
      </w:r>
    </w:p>
    <w:p>
      <w:r>
        <w:t>Reste à déterminer le degré d'invalidité.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w:t>
      </w:r>
    </w:p>
    <w:p>
      <w:r>
        <w:t>A/905/2020 - 16/20 -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w:t>
      </w:r>
    </w:p>
    <w:p>
      <w:r>
        <w:t>A/905/2020 - 17/20 -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Lorsque les revenus avec et sans invalidité sont basés sur les mêmes données statistiques - soit lorsque la personne assurée n'exerçait pas d'activité lucrative avant la survenance de l'atteinte à la santé ou que le revenu sans invalidité ne peut pas être déterminé avec suffisamment de précision (arrêt du Tribunal fédéral des assurances U 243/99 du 23 mai 2000 consid. 2b) -, il est superflu de les chiffrer avec exactitude. En pareil cas, le degré d'invalidité se confond avec celui de l'incapacité de travail, sous réserve d'une éventuelle réduction du revenu d'invalide afin de tenir compte, conformément aux principes développés à l'ATF 126 V 75, de l'ensemble des circonstances personnelles et professionnelles du cas particulier (arrêt du Tribunal fédéral des assurances I 1/03 du 15 avril 2003 consid. 5.2).</w:t>
      </w:r>
    </w:p>
    <w:p>
      <w:r>
        <w:rPr>
          <w:b/>
        </w:rPr>
        <w:t>E. 22</w:t>
      </w:r>
    </w:p>
    <w:p>
      <w:r>
        <w:t>a. En l'espèce, l'OAI a fixé le degré d'invalidité de l'assurée à 0% en comparant un revenu avec invalidité de CHF 43'665.- et un revenu sans invalidité de CHF 42'026.-. b. L’assurée conteste le revenu sans invalidité retenu par l’OAI, qui ne tient pas compte du treizième salaire prévu par la Convention collective de travail, ni des pourboires, et devrait dès lors être augmenté à CHF 49'091.-. Il y a toutefois lieu de constater que les pourboires ne sont pris en compte pour l’évaluation du revenu sans invalidité, que s’ils sont soumis aux cotisations</w:t>
      </w:r>
    </w:p>
    <w:p>
      <w:r>
        <w:t>A/905/2020 - 18/20 - paritaires (8C_514/2012 consid. 4.2 ; Circulaire sur l’invalidité et l’impotence dans l’assurance-invalidité (CIIAI) n° 3023.1). Or, le montant pris en compte par l'OAI correspond au salaire déclaré par l'employeur de l'assurée, soit un montant de CHF 40'800.- (CHF 3'400.- x 12 mois), indexé à CHF 42'026.- en 2016. c. Pour établir le revenu d’invalide, l'OAI s'est à juste titre référé aux données statistiques de l'Enquête suisse sur la structure des salaires (ESS 2016 ; tableau TAI, tous secteurs confondus (total), femmes, activités simples et répétitives, niveau 1), soit un montant de CHF 154'581.- (CHF 4'363.-/40 heures x 41,7 heures x 12 mois), réduit à CHF 43'665.- vu la diminution de rendement de 20%. L'assurée reproche à l'OAI de n'avoir tenu compte d’aucun taux d’abattement, alors qu’elle présente des limitations fonctionnelles neuropsychologiques et psychiatriques. Il convient toutefois de rappeler que la baisse de rendement de 20% a précisément été retenue pour tenir compte de ses limitations fonctionnelles. d. Les revenus pris en considération par l'OAI ne peuvent en conséquence qu'être confirmés.</w:t>
      </w:r>
    </w:p>
    <w:p>
      <w:r>
        <w:rPr>
          <w:b/>
        </w:rPr>
        <w:t>E. 23</w:t>
      </w:r>
    </w:p>
    <w:p>
      <w:r>
        <w:t>a.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En cas de décision simultanée sur l'octroi d'une rente et son remplacement par une autre rente ou même sa suppression, le changement est régi par l'art. 88a RAI, lequel prévoit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La modification du droit à la rente n'intervient qu'après l'écoulement de trois mois complets (ATAS/218/2017 du 21 mars 2017 consid. 23b). b. En l'occurrence, de novembre 2012 à juin 2016, l’assurée a présenté une capacité de travail nulle quelle que soit l’activité envisagée. Elle ne peut toutefois prétendre à aucune prestation pour cette période du fait que sa demande de prestations a été déposée en mars 2016 (art. 29 al. 1 LAI).</w:t>
      </w:r>
    </w:p>
    <w:p>
      <w:r>
        <w:t>A/905/2020 - 19/20 - c. De juin 2016 à octobre 2019, sa capacité de travail est de 50% dans toute activité. Il en découle un degré d’invalidité de 48% ouvrant le droit à un quart de rente d’invalidité de septembre 2016 (art. 29 al. 1 LAI) à fin décembre 2019 (art. 88a RAI). d. La comparaison entre le revenu exigible (CHF 43'665.-) et celui sans invalidité pour une capacité de travail à 100% avec une diminution de rendement de 20% (CHF 42'026.-) conduit à un taux d'invalidité nul, à compter d’octobre 2019.</w:t>
      </w:r>
    </w:p>
    <w:p>
      <w:r>
        <w:rPr>
          <w:b/>
        </w:rPr>
        <w:t>E. 24</w:t>
      </w:r>
    </w:p>
    <w:p>
      <w:r>
        <w:t>Aussi le recours est-il partiellement admis, en ce sens que l’assurée a droit à un quart de rente d’invalidité de septembre 2016 à décembre 2019.</w:t>
      </w:r>
    </w:p>
    <w:p>
      <w:r>
        <w:t>A/905/2020 - 20/20 -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