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ATAS/1034/2020 vom 3. November 2020</w:t>
      </w:r>
    </w:p>
    <w:p>
      <w:r>
        <w:t>GE Cour de justice, 2020-11-03, FR</w:t>
      </w:r>
    </w:p>
    <w:p>
      <w:r>
        <w:rPr>
          <w:b/>
        </w:rPr>
        <w:t xml:space="preserve">Quelle: </w:t>
      </w:r>
      <w:r>
        <w:t>https://mcp.opencaselaw.ch/entscheid/ge_gerichte_ATAS_1034_2020</w:t>
      </w:r>
    </w:p>
    <w:p>
      <w:r>
        <w:t>FR: GE_GERICHTE ATAS/1034/2020 du 3 novembre 2020</w:t>
      </w:r>
    </w:p>
    <w:p>
      <w:r>
        <w:t>IT: GE_GERICHTE ATAS/1034/2020 del 3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et à des mesures d’ordre professionnel.</w:t>
      </w:r>
    </w:p>
    <w:p>
      <w:r>
        <w:t>A/934/2020 - 9/15 -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Au terme de l’art. 28 al. 2 LAI, l’assuré a droit à une rente entière s’il est invalide à 70 % au moins, à un trois-quarts de rente s’il est invalide à 60 % au moins, à une demi-rente s’il est invalide à 50 % au moins, ou à un quart de rente s’il est invalide à 40 % au moins.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7</w:t>
      </w:r>
    </w:p>
    <w:p>
      <w:r>
        <w:t>Conformément à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précise que les mesures de réadaptation comprennent les mesures d’ordre professionnel (orientation professionnelle, formation professionnelle initiale, reclassement, placement, aide en capital). Aux termes de l’art. 17 LAI, l’assuré a droit au reclassement dans une nouvelle profession lorsque son invalidité rend cette mesure nécessaire, et que sa capacité de gain peut ainsi, selon toute vraisemblance, être sauvegardée ou améliorée de</w:t>
      </w:r>
    </w:p>
    <w:p>
      <w:r>
        <w:t>A/934/2020 - 10/15 - manière notable. L’art. 6 al. 1er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A/934/2020 - 11/15 -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A/934/2020 - 12/15 -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l’intimé s’est fondé sur le rapport d’expertise bi-disciplinaire (psychiatrique et orthopédique) du 1er novembre 2019 pour évaluer l’invalidité de la recourante. Il en ressort en synthèse que les troubles constatés sur le plan psychique et orthopédique n’empêchent pas – et n’ont jamais empêché durablement (cf. ci- dessus : consid. 6) – la recourante d’exercer son activité habituelle ou toute autre activité à plein temps, sans diminution de rendement. Force est de constater que ce rapport se fonde sur une anamnèse détaillée, un examen clinique approfondi et qu’il tient compte des plaintes de l’intéressée. Il a en outre été établi en pleine connaissance du dossier ; ses conclusions sont dûment motivées et ne laissent apparaître aucune contradiction. Les rapports du Dr B______ et de Monsieur D______, du 2 août 2018, ainsi que le rapport du 22 octobre 2018 du Dr F______ comportent certes une appréciation différente de la capacité de travail de la recourante mais ils ont été pris en compte par les experts (cf. expertise, annexe 1, pp. 4-5) et ne révèlent aucun élément objectivement vérifiable que ces derniers auraient ignoré. Ce constat s’applique a fortiori au rapport du 5 mars 2020 du Dr F______, lequel se limite à postuler l’existence d’un lien de causalité entre la mauvaise occlusion dentaire et les douleurs cervicales – hypothèse que l’expert J______ déclare possible (car les troubles du rachis cervical mis en évidence sur les clichés radiologiques ne sont pas importants) mais non invalidante, faute, d’une part, d’avoir pu mettre en évidence des troubles orthopédiques ou rhumatologiques justifiant une incapacité de travail et, d’autre part, de trouble neurologique, rhumatologique ou d’atteinte des ATM. La recourante soutient que l’expertise du 1er novembre 2019 aurait dû se voir adjoindre un volet dentaire pour investiguer non pas les répercussions mais la cause de ses problèmes de santé. Ce faisant, la recourante oublie que la notion</w:t>
      </w:r>
    </w:p>
    <w:p>
      <w:r>
        <w:t>A/934/2020 - 13/15 - d’invalidité, au sens du droit des assurances sociales, est une notion économique et non médicale et qu’ainsi, ce sont les conséquences économiques objectives de l’incapacité fonctionnelle qu’il importe d’évaluer (ATF 110 V 273 consid. 4a). En d’autres termes, l’atteinte à la santé n’est pas à elle seule déterminante et ne sera prise en considération que dans la mesure où elle entraîne une incapacité de travail ayant des effets sur la capacité de gain de l’assuré (arrêt du Tribunal fédéral des assurances I 654/00 du 9 avril 2001 consid. 1), élément qu’en l’espèce, l’expert orthopédiste réfute de manière convaincante, sans qu’il en résulte une contradiction avec sa recommandation de requérir un nouvel avis spécialisé sur la meilleure façon de résoudre le problème d’occlusion (cf. expertise, p. 36). En outre, la chambre de céans ne voit pas pour quels motifs l’intimé aurait également dû mandater un expert dentiste dès lors que les rapports recueillis par l’intimé au cours de l’instruction médicale mettent principalement en exergue le lien entre les problèmes dentaires et les cervicalgies. Par ailleurs, il ne ressort d’aucun rapport versé au dossier, dû à la plume d’un médecin-dentiste, que les troubles dentaires de la recourante, qui sont incontestés, auraient une répercussion sur la capacité de travail de cette dernière. Enfin, même si une forme de handicap (mastication, élocution) liée aux problèmes dentaires ne saurait être niée au vu des pièces du dossier, il n’en demeure pas moins qu’il existe des éléments d’autolimitation et d’amplification à cet égard (cf. expertise, p. 21, dernier §), que la recourante confirme à sa façon dans son écriture du 10 juin 2020 en affirmant, d’une part, que « le fait de devoir parler entre mes dents – ou du moins ce qu’il en reste – pour conserver un semblant de dignité a pour résultat que je ne postillonne pas et ne prétends pas le faire, contrairement à ce qu’affirme le […] SMR dans son avis médical du 27 avril [recte : 4 mai] 2020 » et, d’autre part, que « j’ai atteint un stade où je peux affirmer aller mieux […] ». La recourante s’en prend également aux inexactitudes factuelles que comporterait, selon elle, l’expertise réalisée par la Dresse I______. Force est de constater, tout d’abord, qu’il n’a pas échappé aux experts que certaines réponses dans les anamnèses différaient entre l’expertise psychiatrique et l’expertise orthopédique quant au nombre de cigarettes fumées, aux activités professionnelles, aux postes occupés à quelle date, etc. Cependant, les experts ont estimé d’un point de vue consensuel que ces différences n’avaient pas d’incidence sur leur appréciation de la capacité de travail (rapport d’expertise, p. 7), de sorte qu’on ne saurait ni leur reprocher un manque de diligence, ni mettre en doute la pertinence de leurs déductions. En outre, si tant est que le grief de la recourante soit fondé, les imprécisions que celle-ci prête à la Dresse I______ dans la transcription des propos tenus apparaissent d’autant plus dénuées de portée véritable qu’aucune pièce médicale – ni même une déclaration de l’intéressée – ne contredit l’experte psychiatre quant à l’absence de trouble psychique incapacitant. La chambre de céans relève enfin que les aspects médicaux non soumis à l’appréciation des experts (tests sanguins, acrocyanose) ont été examinés de manière probante par le SMR sur la base des pièces produites. On rappellera à cet</w:t>
      </w:r>
    </w:p>
    <w:p>
      <w:r>
        <w:t>A/934/2020 - 14/15 - égard que les compétences dévolues légalement au SMR, qui consistent notamment à évaluer l’intégralité du dossier et à donner son avis sur les capacités fonctionnelles de la personne assurée, interviennent précisément dans un tel cas (art. 59 al. 2bis LAI; arrêt du Tribunal fédéral 9C_906/2010 du 5 avril 2010 consid. 3.4.2 et les références). La cause étant suffisamment instruite et les explications données par la recourante bien circonstanciées, la chambre de céans se dispensera, par appréciation anticipée des preuves de fixer une audience de comparution personnelle des parties.</w:t>
      </w:r>
    </w:p>
    <w:p>
      <w:r>
        <w:rPr>
          <w:b/>
        </w:rPr>
        <w:t>E. 11</w:t>
      </w:r>
    </w:p>
    <w:p>
      <w:r>
        <w:t>Il est ainsi établi, au degré de la vraisemblance prépondérante, que la recourante ne souffre d’aucune atteinte à la santé invalidante, de sorte qu’elle ne peut prétendre à une rente d’invalidité. Son droit à une mesure d’ordre professionnel doit également être nié puisque son handicap ne l’empêche pas, d’un point de vue médical, d’exercer toute activité à plein temps, y compris la dernière en date (cf. art. 8 al. 1 let. a LAI).</w:t>
      </w:r>
    </w:p>
    <w:p>
      <w:r>
        <w:rPr>
          <w:b/>
        </w:rPr>
        <w:t>E. 12</w:t>
      </w:r>
    </w:p>
    <w:p>
      <w:r>
        <w:t>Compte tenu de ce qui précède, le recours est rejeté. La procédure n’étant plus gratuite depuis le 1er juillet 2006 (art. 69 al. 1bis LAI), il y a lieu de condamner la recourante au paiement d’un émolument de CHF 200.-.</w:t>
      </w:r>
    </w:p>
    <w:p>
      <w:r>
        <w:t>*****</w:t>
      </w:r>
    </w:p>
    <w:p>
      <w:r>
        <w:t>A/934/2020 - 15/15 -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