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ATAS/1034/2018 vom 7. November 2018</w:t>
      </w:r>
    </w:p>
    <w:p>
      <w:r>
        <w:t>GE Cour de justice, 2018-11-07, FR</w:t>
      </w:r>
    </w:p>
    <w:p>
      <w:r>
        <w:rPr>
          <w:b/>
        </w:rPr>
        <w:t xml:space="preserve">Quelle: </w:t>
      </w:r>
      <w:r>
        <w:t>https://mcp.opencaselaw.ch/entscheid/ge_gerichte_ATAS_1034_2018</w:t>
      </w:r>
    </w:p>
    <w:p>
      <w:r>
        <w:t>FR: GE_GERICHTE ATAS/1034/2018 du 7 novembre 2018</w:t>
      </w:r>
    </w:p>
    <w:p>
      <w:r>
        <w:t>IT: GE_GERICHTE ATAS/1034/2018 del 7 novembre 2018</w:t>
      </w:r>
    </w:p>
    <w:p>
      <w:pPr>
        <w:pStyle w:val="Heading2"/>
      </w:pPr>
      <w:r>
        <w:t>Erwägungen</w:t>
      </w:r>
    </w:p>
    <w:p>
      <w:r>
        <w:rPr>
          <w:b/>
        </w:rPr>
        <w:t>E. 6</w:t>
      </w:r>
    </w:p>
    <w:p>
      <w:r>
        <w:t>En l’espèce, le 15 décembre 2016, la recourante a saisi l’intimé d’une demande de prestations en raison d’une atteinte au dos. Au cours du mois de janvier 2017, les</w:t>
      </w:r>
    </w:p>
    <w:p>
      <w:r>
        <w:t>A/719/2018 - 8/14 - Drs B______ et C______ ont chacun adressé à l’OAI un rapport, dans lequel ils se sont prononcés sur l’état de santé de la recourante et sa capacité de travail. Ces rapports ont été soumis au SMR qui a établi un avis en date du 28 février 2017. Le 17 octobre 2017, l’OAI a sollicité des précisions de l’assurée, s’agissant notamment de l’évolution de son état de santé et de sa capacité de travail. Un rappel lui a été adressé le 13 novembre 2017. Sans nouvelles de la part de la recourante, l’OAI lui a adressé un projet de décision en date du 24 novembre 2017, confirmé le 19 janvier 2018 sans que la recourante ne se soit manifestée. En réalité, en ne répondant pas au courrier du 17 octobre 2017 et au rappel du 13 novembre 2017, la recourante a refusé de collaborer à l’instruction du dossier. Toutefois, le dossier ne permet pas de retenir que la recourante aurait fait une violation qualifiée de son obligation de collaborer (voir supra consid. 6c in fine), de sorte que pour pouvoir statuer en l’état du dossier, l’intimé devait lui adresser une mise en demeure écrite, en l’avertissant des conséquences juridiques et en lui impartissant un délai de réflexion convenable. Or, force est de constater que l’office intimé n’a pas respecté cette procédure. En effet, ni le courrier du 17 octobre 2017 ni le rappel du 13 novembre 2017 ne comportaient une mise en demeure avec indication des conséquences juridiques et délai de réflexion. Par ailleurs, dans la mesure où l’OAI connaissait l’identité des médecins traitants de la recourante, il lui était possible de se renseigner sur l’évolution de l’état de santé de celle-ci sans difficultés ni complications spéciales. Ainsi, en statuant en l’état du dossier, sans mise en demeure et délai de réflexion et sans avoir demandé une mise à jour directement aux médecins traitants de l’assurée, l’intimé a violé la procédure prévue par l’art. 43 al. 3 LPGA, applicable en matière d’assurance-invalidité par le biais de l’art. 1 LAI. La décision querellée doit donc être annulée pour ce motif déjà. Cela étant, même si l’OAI avait été en droit de statuer en l’état du dossier sans mise en demeure et délai de réflexion, la cause aurait quoi qu’il en soit dû être renvoyée à l’intimé, faute de rapports probants au dossier, comme cela ressort des considérations suivantes.</w:t>
      </w:r>
    </w:p>
    <w:p>
      <w:r>
        <w:rPr>
          <w:b/>
        </w:rPr>
        <w:t>E. 7</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A/719/2018 - 9/14 -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8</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A/719/2018 - 10/14 -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w:t>
      </w:r>
    </w:p>
    <w:p>
      <w:r>
        <w:rPr>
          <w:b/>
        </w:rPr>
        <w:t>E. 9</w:t>
      </w:r>
    </w:p>
    <w:p>
      <w:r>
        <w:t>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w:t>
      </w:r>
    </w:p>
    <w:p>
      <w:r>
        <w:t>A/719/2018 - 11/14 - arrêts cités ; arrêts du Tribunal fédéral des assurances 8C_441/2007 du 6 mai 2008 consid. 4.2 et I 321/04 du 18 juillet 2005 consid. 5).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w:t>
      </w:r>
    </w:p>
    <w:p>
      <w:r>
        <w:t>a. À titre liminaire, il convient de relever que l’activité habituelle de la recourante était celle de sage-femme. En raison de son atteinte à la santé, elle a décidé de quitter, avec effet au 30 septembre 2016, cette activité pour exercer celle d’assistante médicale, qu’elle considérait comme plus adaptée. Elle a ainsi travaillé dix jours pour une gynécologue en octobre 2016. Avec l’aide de l’OAI, elle a suivi une pré-formation d’assistante médicale entre janvier et avril 2017. En d’autres termes, la recourante a appliqué le principe de la réadaptation par soi-même et a tenté une reconversion professionnelle.</w:t>
      </w:r>
    </w:p>
    <w:p>
      <w:r>
        <w:t>A/719/2018 - 12/14 - La recourante a été engagée à 100% en tant qu’assistante médicale par un cabinet de gynécologie à compter du 1er mai 2017. Toutefois, les Drs B______ et C______ ont estimé que sa capacité de travail était de 50% dès le 5 décembre 2017. Ces rapports, produits en cours de procédure, n’ont donc pas pu être pris en considération dans la décision querellée. L’OAI les a cependant soumis à son SMR, qui a confirmé son avis du 28 février 2017 (voir avis du 30 avril 2018). Se fondant sur ce dernier avis, l’intimé a persisté dans ses conclusions en rejet du recours et en confirmation de la décision querellée. Il convient dès lors d’examiner la valeur probante des rapports des Drs B______ et C______ justifiant une capacité de travail de 50%. b. Force est de constater que les rapports des médecins précités des 26 mars,</w:t>
      </w:r>
    </w:p>
    <w:p>
      <w:r>
        <w:rPr>
          <w:b/>
        </w:rPr>
        <w:t>E. 12</w:t>
      </w:r>
    </w:p>
    <w:p>
      <w:r>
        <w:t>avril et 6 juin 2018 ne comportent pas d’anamnèse, pas de description des plaintes de l’assuré ni de constatations objectives. Leurs conclusions ne sont ni claires ni motivées. En effet, lesdits rapports ne permettent pas de comprendre pour quelles raisons l’activité d’assistante médicale ne serait pas adaptée à l’état de santé de la recourante, les médecins évoquant l’ambiance de travail (reprise d’une activité éprouvante moralement ; ambiance de travail pas très facile), l’activité en tant que telle (reprise d’une activité éprouvante physiquement, activité pas très facile ; adaptation de l’activité) et le manque de temps (pour mettre en pratique les stratégies rééducatives ; arrêt des activités sportives habituelles). Concrètement, on ne sait pas si c’est la profession même d’assistante médicale à 100% qui est incompatible avec l’état de santé de la recourante ou si c’est plus particulièrement l’activité dans le cabinet de gynécologie dans lequel elle travaillait ou plus généralement chez un gynécologue qui comprend des contraintes qui ne sont pas compatibles avec son état de santé. Une pleine valeur probante doit dès lors être niée aux rapports des Drs B______ et C______. c. L’avis du SMR du 30 avril 2018 est un rapport au sens de l’art. 59 al. 2 bis LAI (en corrélation avec l’art. 49 al. 1 RAI) qui a pour fonction d’opérer la synthèse des renseignements médicaux ressortant des rapports des Drs C______ et B______ des 26 mars, respectivement 12 avril 2018. Dans cet avis, le Dr E______ considère que le dossier ne comporte aucun élément médical permettant de retenir une aggravation de l’état de santé de la recourante. Dans les deux avis (28 février 2017 et 30 avril 2018), les médecins du SMR se sont uniquement prononcés sur la capacité de travail de la recourante dans une activité adaptée, qu’ils n’ont pas précisée. Les médecins du SMR ne se sont jamais exprimé sur l’exigibilité de l’activité d’assistante/secrétaire médicale. En persistant dans les termes de la décision querellée, à savoir en persistant à procéder à une comparaison des revenus en prenant en considération le salaire d’assistante médicale à titre de revenu avec invalidité, l’OAI s’est en réalité écarté de l’avis du SMR. En effet, celui-ci ne s’est jamais prononcé sur la capacité de</w:t>
      </w:r>
    </w:p>
    <w:p>
      <w:r>
        <w:t>A/719/2018 - 13/14 - travail dans l’activité de secrétaire/assistante médicale, se contentant de retenir une capacité de travail entière dans une activité adaptée. Or, rien dans le dossier ne permettait à l’office précité de considérer que l’activité d’assistante médicale était adaptée. En effet, les médecins traitants ont considéré que seule une activité partielle était exigible. De son côté, le SMR ne s’est pas prononcé sur l’exigibilité de cette activité. Or, s’il s’avérait que l’activité de secrétaire/assistante médicale n’était effectivement pas adaptée, il conviendrait alors de procéder à la comparaison des revenus en appliquant les salaires statistiques ressortant de l’enquête suisse sur la structure des salaires (ESS) et non le salaire d’assistante médicale, ce qui pourrait le cas échéant modifier le degré d’invalidité et, partant, ouvrir le droit à des mesures de reclassement, voire à une rente. Dans de telles conditions, même dans l’hypothèse où l’OAI aurait pu statuer en l’état du dossier, la cause aurait quoi qu’il en soit dû être renvoyée pour instruction complémentaire sur la question de la capacité de travail dans l’activité d’assistante médicale, voire dans une activité adaptée et, cela fait, pour nouveau calcul du degré d’invalidité. 11. Au vu de ce qui précède, le recours sera admis et la décision du 19 janvier 2018 sera annulée. La recourante obtenant gain de cause, une indemnité de CHF 1'000.- lui sera accordée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A/719/2018 - 14/14 -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