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ATAS/1034/2014 vom 30. September 2014</w:t>
      </w:r>
    </w:p>
    <w:p>
      <w:r>
        <w:t>GE Cour de justice, 2014-09-30, FR</w:t>
      </w:r>
    </w:p>
    <w:p>
      <w:r>
        <w:rPr>
          <w:b/>
        </w:rPr>
        <w:t xml:space="preserve">Quelle: </w:t>
      </w:r>
      <w:r>
        <w:t>https://mcp.opencaselaw.ch/entscheid/ge_gerichte_ATAS_1034_2014</w:t>
      </w:r>
    </w:p>
    <w:p>
      <w:r>
        <w:t>FR: GE_GERICHTE ATAS/1034/2014 du 30 septembre 2014</w:t>
      </w:r>
    </w:p>
    <w:p>
      <w:r>
        <w:t>IT: GE_GERICHTE ATAS/1034/2014 del 30 settembre 2014</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 Etant précisé que la décision qu'attaque le recourant a été rendue le 10 avril 2014 et reçue par ce dernier au plus tôt le 11 avril 2014 et que le délai de recours n'a pas couru du 7ème jour avant Pâques au 7ème jours après Pâques inclusivement (soit du 13 au 27 avril 2014 [art. 38 al. 4 et 60 al. 2 LPGA ; art. 89C LOJ]), le délai légal de recours de 30 jours à compter de sa notification (art. 60 al. 1 LPGA) arrivait à échéance le 26 mai 2014. Ayant été déposé par un pli recommandé du 12 mai 2014, le présent recours a donc été interjeté en temps utile (art. 60 al. 1 LPGA). Il contient un exposé des faits et des motifs invoqués, ainsi que les conclusions du recourant, et satisfait ainsi aux exigences de forme et de contenu prévues par l’art. 61 let. b LPGA (cf. aussi art. 89B LPA). Le recourant a qualité pour recourir contre la décision attaquée, en tant qu'elle lui refuse des prestations de l'AI auxquelles il estime avoir droit, car il est touché par cette décision et a un intérêt digne de protection à son annulation ou modification (art. 59 LPGA).</w:t>
      </w:r>
    </w:p>
    <w:p>
      <w:r>
        <w:t>c) Le présent recours sera donc déclaré recevable.</w:t>
      </w:r>
    </w:p>
    <w:p>
      <w:r>
        <w:t>A/1327/2014 - 13/20 -</w:t>
      </w:r>
    </w:p>
    <w:p>
      <w:r>
        <w:rPr>
          <w:b/>
        </w:rPr>
        <w:t>E. 2</w:t>
      </w:r>
    </w:p>
    <w:p>
      <w:r>
        <w:t>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 ATF 112 V 360 consid. 4a ; RAMA 1998 KV 37 p. 316 consid. 3b]). Les faits pertinents dans la présente affaire se sont produits entre 2010 et 2014. Dans l'intervalle, la LAI a subi les modifications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Le droit éventuel aux prestations doit donc être examiné en l'espèce au regard de l'ancien droit pour la période jusqu'au 31 décembre 2011, et au regard du nouveau droit pour la période ayant débuté le 1er janvier 2012, dans la mesure de leur pertinence (ATF 130 V 445 et les références; voir également ATF 130 V 329). Cela étant,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Aussi n'y a-t-il pas de différenciation à faire en l'espèce dans la détermination de l'invalidité de la recourante pour les périodes respectives de janvier 2008 à décembre 2012 et de janvier 2013 à mars 2014 (mois au cours duquel les décisions attaquées ont été rendues). Par ailleurs, les dispositions de la LPGA s'appliquent à l'assurance-invalidité, à moins que la loi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La question litigieuse est de savoir si c'est à juste titre que l'intimé a supprimé le droit du recourant à une rente d'invalidité à compter du 1er août 2013.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w:t>
      </w:r>
    </w:p>
    <w:p>
      <w:r>
        <w:t>A/1327/2014 - 14/20 - ont subi un changement important (ATF 130 V 343 consid. 3.5 ; ATF 113 V 273 consid. 1a ;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I 559/02 du 31 janvier 2003 consid. 3.2 et les arrêts cités). La réglementation sur la révision ne saurait en effet constituer un fondement juridique à un réexamen sans condition du droit à la rente (arrêt du Tribunal fédéral I 406/05 du 13 juillet 2006 consid. 4.1).</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 de rente s'il est invalide à 60% au moins, à une demi-rente s'il est invalide à 50% au moins, ou à un quart de rente s'il est invalide à 40% au moins (art. 28 al. 2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I.786/04 du 19 janvier 2006 consid. 3.1). Dans l'éventualité où des troubles psychiques ayant valeur de maladie sont finalement admis, il y a alors lieu d'évaluer le caractère exigible de la reprise d'une</w:t>
      </w:r>
    </w:p>
    <w:p>
      <w:r>
        <w:t>A/1327/2014 - 15/20 -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A/1327/2014 - 16/20 - Bien que les rapports d'examen réalisés par un SMR en vertu de l'art. 49 al. 2 RAI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qui sont posées à une expertise médicale (arrêt du Tribunal fédéral 9C_204/2009 du 6 juillet 2009 consid. 3.3.2 et les références, passage non publié in ATF 135 V 254). Cela étant, il convient d'ordonner une expertise si des doutes, mêmes faibles, subsistent quant à la fiabilité et à la pertinence des constatations médicales effectuées par le service médical interne de l'assurance (ATF 135 V 465 consid. 4.6).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jusqu'en 2011,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w:t>
      </w:r>
    </w:p>
    <w:p>
      <w:r>
        <w:t>A/1327/2014 - 17/20 -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7</w:t>
      </w:r>
    </w:p>
    <w:p>
      <w:r>
        <w:t>En l'occurrence, l'intimé a retenu, en se référant aux conclusions des Drs K______ et L______, médecins auprès du SMR, que les atteintes à la santé dont souffre le recourant ont entraîné une incapacité de travail totale du 5 juillet 2010 à avril 2013 et qu'à compter du mois de mai 2013, sa capacité de travail est totale dans une activité adaptée, ce que conteste le recourant en se fondant sur les rapports du Dr F______ et des Drs L______, M______ et N______. Par rapport d'examen du 1er octobre 2013, les Drs K______ et L______ ont diagnostiqué, avec répercussion sur la capacité de travail du recourant, des lombalgies et cervicalgies dans le cadre de troubles statiques et dégénératifs du rachis avec hernies discales C5-C6 et C6-C7 gauches, des douleurs et limitations fonctionnelles de l'épaule droite dans le cadre d'un status après capsulite rétractile et après contusion de l'articulation acromio-claviculaire droite et un syndrome rotulien droit. Sans répercussion sur la capacité de travail, le recourant présentait un status après traumatisme de type mallet osseux de l'index droit, un status après arrachement osseux avec mallet tendineux de l'annulaire droit, un excès pondéral, une hypertension artérielle traitée, une hyperthyroïdie anamnestique traitée, des migraines anamnestiques et une autre modification durable de la personnalité (F62.8). Selon les examinateurs, les atteintes à la santé somatiques avaient entraîné une incapacité de travail totale dans l'activité habituelle du 5 juillet 2010 au 4 juillet 2011. Dès cette date, la capacité de travail était totale dans une activité adaptée aux limitations fonctionnelles. Sur le plan psychiatrique, une incapacité de travail avait existé dès juillet 2011; à compter du mois de mai 2013, date de l'introduction d'un traitement neuroleptique d'Entumine, le recourant avait recouvré une capacité de travail totale. A la lecture du rapport d'examen du SMR, la chambre de céans est d'avis que les conclusions des examinateurs ne permettent toutefois pas de déterminer si la capacité de travail du recourant s'est effectivement améliorée à compter du mois de mai 2013, et ce pour les raisons qui suivent. Sur le plan psychiatrique, on relèvera que les examinateurs ont écarté le diagnostic d'état de stress post-traumatique (F43.1) posé par le Dr G______ (rapport du 10 juillet 2011) et ont retenu celui d'autre modification durable de la personnalité (F62.8), sans qu'une motivation claire et détaillée ne soit donnée, de sorte que l'on peine à comprendre comment et sur quelle base ce diagnostic a été posé. Les examinateurs ont ainsi retenu que l'état de santé du recourant sur le plan psychiatrique s'était amélioré dès mai 2013, au motif, semble-t-il, qu'"actuellement l'assuré ne décrit pas la présence de cauchemars" (page 8 du rapport d'examen). Or, cela ne correspond pas aux explications fournies par le recourant aux examinateurs, puisqu'il ressort de l'anamnèse psychosociale et psychiatrique que le recourant</w:t>
      </w:r>
    </w:p>
    <w:p>
      <w:r>
        <w:t>A/1327/2014 - 18/20 - présentait "parfois" des cauchemars (page 3 du rapport d'examen). En outre, il apparaît que les examinateurs ont également retenu une amélioration dès le mois de mai 2013, en raison de l'introduction du traitement d'Entumine et du fait que le recourant a décrit une amélioration de la durée du sommeil. Or, on peine à comprendre l'appréciation des examinateurs puisqu'il résulte de leur rapport qu'au moment de l'examen, la plainte principale du recourant concernait les troubles du sommeil et qu'un examen portant sur son sommeil était en outre agendé pour la semaine suivante (page 3 du rapport d'examen). Qui plus est, avant de rendre leurs conclusions, les examinateurs n'ont ni cherché à prendre connaissance des résultats de l'examen du sommeil - alors qu'il aurait révélé un syndrome d'apnées du sommeil obstructives de degré sévère (rapport du Dr F______ du 12 décembre 2013) - ni interrogé le Dr J______, médecin en charge du suivi psychiatrique du recourant depuis environ une année. Sur le plan somatique, il apparaît également que les examinateurs ont posé leurs diagnostics sans avoir pris connaissance au préalable de l'IRM lombaire effectuée le 24 octobre 2012 montrant une protrusion discale L5-S1 sans conflit radiculaire, une dégénérescence discale L4-L5 et L5-S1, une sclérose de surcharge aux facettes articulaires postérieures sans rétrécissement canalaire et foraminal (rapport des Drs L______, M______ et N______ du 7 février 2014, page 2, 2ème paragraphe) et du rapport d'expertise pluridisciplinaire du CEMED du 21 décembre 2012 (mentionné dans la décision de l'assureur-accidents du 11 mars 2013, mais ne figurant pas dans le dossier versé par l'intimé à la présente procédure). Au vu de l'ensemble de ces éléments, la chambre de céans est d'avis que le rapport d'examen du SMR du 1er octobre 2013 n'a pas la valeur probante suffisante requise par la jurisprudence. Par ailleurs, force est de constater que la situation médicale du recourant n'est, quoi qu'il en soit, pas claire. En effet, les diagnostics des examinateurs divergent de ceux des Drs L______, M______ et N______, puisque ceux-ci ont retenu suite à des examens effectués les 10 janvier et 5 février 2014, un syndrome de stress post- traumatique avec un état anxio-dépressif significatif, rendant indispensable la poursuite du suivi par un psychiatre, l'existence clinique de signes de tendinopathie du muscle sub-scapulaire droit de bursite sous-acromiale droite, des lombosciatalgies droites avec déficit sensitif et probables douleurs neurogènes du membre inférieur droit, une facéite plantaire droite ainsi qu'un déficit moteur et sensitif droit dans le territoire de C7. Qui plus est, il apparaît que certaines atteintes à la santé - soit les douleurs abdominales, les cervicalgies et les troubles à l'épaule droite - nécessitaient des investigations supplémentaires, tels que des examens échographiques, IRM et avis neurochirurgicaux (rapport du 7 février 2014 des Drs L______, M______ et N______).</w:t>
      </w:r>
    </w:p>
    <w:p>
      <w:r>
        <w:rPr>
          <w:b/>
        </w:rPr>
        <w:t>E. 8</w:t>
      </w:r>
    </w:p>
    <w:p>
      <w:r>
        <w:t>Compte tenu de l'ensemble de ces éléments, la chambre de céans n'est pas en mesure de statuer en l'état actuel du dossier, dès lors qu'il ne contient pas les éléments suffisants et probants permettant une appréciation adéquate de l'évolution</w:t>
      </w:r>
    </w:p>
    <w:p>
      <w:r>
        <w:t>A/1327/2014 - 19/20 - des troubles dont souffre le recourant, leurs éventuelles limitations fonctionnelles et répercussions sur sa capacité de travail à compter de mai 2013, et partant, sur son degré d’invalidité. Il convient dès lors de renvoyer la cause à l'intimé afin qu'il ordonne un complément d'instruction sous la forme d'une expertise médicale indépendante auprès d'un spécialiste en rhumatologie, en orthopédie et en psychiatrie, après avoir interrogé les médecins spécialistes traitants du recourant. Les conditions jurisprudentielles d’un tel renvoi sont d’autant plus remplies qu'aucune expertise n'a été réalisée par l’intimé. En cas de nécessité, un stage d'observation professionnelle visant à clarifier le rendement exigible et les activités qui demeurent à la portée de l'intéressé sera également organisé. Une fois ces mesures d'instruction effectuées, il appartiendra à l'intimé d'évaluer le taux d'invalidité et de rendre une nouvelle décision.</w:t>
      </w:r>
    </w:p>
    <w:p>
      <w:r>
        <w:rPr>
          <w:b/>
        </w:rPr>
        <w:t>E. 9</w:t>
      </w:r>
    </w:p>
    <w:p>
      <w:r>
        <w:t>Le recours sera donc admis, la décision querellée annulée en tant qu'elle met fin au versement de la rente dès le 1er août 2013, et le dossier renvoyé à l'autorité administrative afin qu'elle procède conformément aux considérants.</w:t>
      </w:r>
    </w:p>
    <w:p>
      <w:r>
        <w:rPr>
          <w:b/>
        </w:rPr>
        <w:t>E. 10</w:t>
      </w:r>
    </w:p>
    <w:p>
      <w:r>
        <w:t>De façon générale, la procédure devant la chambre de céans est gratuite, sous réserve de la possibilité de mettre des émoluments de justice et les frais de procédure à la charge de la partie qui agit de manière téméraire ou témoigne de légèreté (art. 61 let. a LPGA ; art. 89H al. 1 LPA). Tel n’est cependant pas le cas, en dérogation à l’art. 61 let. a LPGA, de la procédure de recours en matière de contestation portant sur l’octroi ou le refus de prestations de l’AI devant le Tribunal cantonal des assurances [soit, dans le canton de Genève, la chambre des assurances sociales de la Cour de justice (art. 134 al. 1 let. a ch. 2 LOJ)]. Le montant des frais susceptible d’être mis à la charge des parties dans une telle procédure devant se situer entre CHF 200.- et CHF 1'000.-, indépendamment de la valeur litigieuse (art. 69 al. 1bis LAI). Au vu du sort donné au recours, il y a lieu de condamner l'intimé au paiement d'un émolument de 200 fr. Le recourant, qui est représenté et qui obtient gain de cause, a droit à une indemnité de 1'000 fr. à titre de participation à ses frais et dépens [art. 61 let. g LPGA et 89H al. 3 de la loi sur la procédure administrative du 12 septembre 1985 (LPA- E 5 10)], à la charge de l'intimé.</w:t>
      </w:r>
    </w:p>
    <w:p>
      <w:r>
        <w:t>A/1327/2014 - 20/20 -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