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ATAS/1033/2013 vom 4. Februar 2013</w:t>
      </w:r>
    </w:p>
    <w:p>
      <w:r>
        <w:t>GE Cour de justice, 2013-02-04, FR</w:t>
      </w:r>
    </w:p>
    <w:p>
      <w:r>
        <w:rPr>
          <w:b/>
        </w:rPr>
        <w:t xml:space="preserve">Quelle: </w:t>
      </w:r>
      <w:r>
        <w:t>https://mcp.opencaselaw.ch/entscheid/ge_gerichte_ATAS_1033_2013</w:t>
      </w:r>
    </w:p>
    <w:p>
      <w:r>
        <w:t>FR: GE_GERICHTE ATAS/1033/2013 du 4 février 2013</w:t>
      </w:r>
    </w:p>
    <w:p>
      <w:r>
        <w:t>IT: GE_GERICHTE ATAS/1033/2013 del 4 febbraio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Déposé dans la forme et le délai prescrits, le recours est recevable (art. 9 LPCF, art. 38 al. 4, 56 al. 1 et 61 al. 1 LPGA; art. 43 LPCC).</w:t>
      </w:r>
    </w:p>
    <w:p>
      <w:r>
        <w:rPr>
          <w:b/>
        </w:rPr>
        <w:t>E. 4</w:t>
      </w:r>
    </w:p>
    <w:p>
      <w:r>
        <w:t>Le litige porte sur le droit du SPC de prendre un gain potentiel de l’épouse de l’assuré en considération.</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rPr>
          <w:b/>
        </w:rPr>
        <w:t>E. 6</w:t>
      </w:r>
    </w:p>
    <w:p>
      <w:r>
        <w:t>Au niveau fédéral, selon l’art. 11 al. 1 LPC, les revenus déterminants comprennent notamment le produit de la fortune mobilière et immobilière (let. a), un dixième de</w:t>
      </w:r>
    </w:p>
    <w:p>
      <w:r>
        <w:t>A/1879/2013 - 5/9 -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w:t>
      </w:r>
    </w:p>
    <w:p>
      <w:r>
        <w:rPr>
          <w:b/>
        </w:rPr>
        <w:t>E. 7</w:t>
      </w:r>
    </w:p>
    <w:p>
      <w:r>
        <w:t>Au niveau cantonal, l’art. 4 LPCC prévoit qu'ont droit aux prestations les personnes dont le revenu annuel déterminant n’atteint pas le revenu minimum cantonal d’aide sociale applicable. Le revenu déterminant au sens de l’art. 5 al. 1 LPCC comprend notamment les ressources en espèces ou en nature provenant d'une activité lucrative (let. a), les rentes de l’assurance-vieillesse et survivants et de l’assurance-invalidité ainsi que</w:t>
      </w:r>
    </w:p>
    <w:p>
      <w:r>
        <w:t>A/1879/2013 - 6/9 - les indemnités journalières de l’assurance-invalidité (let. d), les prestations complémentaires fédérales (let. e), les rentes, pensions et autres prestations périodiques (let. f) et les ressources dont un ayant droit s'est dessaisi (let. j). L’art. 5 al. 6 LPCC précise qu'il peut être pris en compte un gain hypothétique pour les personnes partiellement invalides, âgées de moins de 60 ans, qui n'exercent pas d'activité lucrative.</w:t>
      </w:r>
    </w:p>
    <w:p>
      <w:r>
        <w:rPr>
          <w:b/>
        </w:rPr>
        <w:t>E. 8</w:t>
      </w:r>
    </w:p>
    <w:p>
      <w:r>
        <w:t>En ce qui concerne le critère de la mise en valeur de la capacité de gain sur le marché de l'emploi, le Tribunal fédéral des assurances (ci-après le TFA) a considéré qu'il importe de savoir si et à quelles conditions l'intéressé est en mesure de trouver un travail. A cet égard, il faut prendre en considération, d'une part, l'offre des emplois vacants appropriés et, d'autre part, le nombre de personnes recherchant un travail (ATF Z. du 9 décembre 1999, P 2/99). Il y a lieu d'examiner concrètement la situation du marché du travail (ATF Y. du 9 juillet 2002, P 18/02). Il ressort de la jurisprudence fédérale que le gain potentiel doit être réalisable par l’intéressée. On peut utilement se référer à la casuistique établie sur la base de la jurisprudence rendue tant par le Tribunal fédéral (ci-après : TF) que par la Cour de céans pour la prise en compte du revenu hypothétique du conjoint de l'assuré.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cf également ATAS/1445/2007). Dans le cas d’une femme de 39 ans, avec trois enfants, dont un seul encore mineur, qui n’avait pratiquement jamais travaillé depuis son arrivée en Suisse et qui était atteinte de fibromyalgie ainsi que de fatigue chronique, le TF a</w:t>
      </w:r>
    </w:p>
    <w:p>
      <w:r>
        <w:t>A/1879/2013 - 7/9 - confirmé qu'il était raisonnablement exigible l’exercice d’une activité lucrative si ce n'est à plein temps, du moins à mi-temps (ATF non publié 8C_470/2008 du 29 janvier 2009; cf également ATAS/132/2008). Un gain hypothétique n’a en revanche pas à être pris en compte dans le cas d’un conjoint âgé de près de 54 ans, sans formation professionnelle, et qui avait perçu des indemnités de chômage pendant deux ans. Il a en effet été admis que durant la période d'allocation de l'indemnité de chômage, l'intéressée avait fait tout ce que l'on pouvait attendre d'elle pour retrouver un emploi. Son inactivité était donc due à des motifs conjoncturels (ATFA non publié P 88/01du 8 octobre 2002). Tout gain potentiel a par ailleurs été exclu pour une épouse n'ayant aucune formation, ne parlant pratiquement pas le français et ayant plusieurs enfants en bas âge (ATAS/750/2004). Il en a été de même dans le cas d’un conjoint âgé de 54 ans, n’ayant pas de formation ni de connaissances de français, souffrant de plusieurs limitations fonctionnelles au membre supérieur droit ainsi que d’une dépression à elle seule invalidante à raison de 50 % (ATAS/1095/2007).</w:t>
      </w:r>
    </w:p>
    <w:p>
      <w:r>
        <w:t>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du 8C_172/2007 du 6 février 2008, consid. 7.2).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 ATAS/680/2011). Il appartient ainsi au SPC d'examiner si l'assurée peut exercer une activité lucrative et si on est en droit d'attendre d'elle qu'elle le fasse. Pour ce faire, il doit tenir</w:t>
      </w:r>
    </w:p>
    <w:p>
      <w:r>
        <w:t>A/1879/2013 - 8/9 - compte de toutes les circonstances objectives et subjectives qui entravent ou compliquent la réalisation d'un tel revenu, selon les critères décrits ci-dessus. Dans un arrêt du 24 juin 2009 (ATAS/841/2009), le Tribunal cantonal des assurances sociales, alors compétent,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 ci. Il a à cet égard eu l'occasion d'admettre le recours interjeté par un assuré dont les difficultés d'intégration dans le marché du travail avaient été illustrées par de nombreuses recherches d'emploi restées vaines (ATAS/160/2004).</w:t>
      </w:r>
    </w:p>
    <w:p>
      <w:r>
        <w:rPr>
          <w:b/>
        </w:rPr>
        <w:t>E. 9</w:t>
      </w:r>
    </w:p>
    <w:p>
      <w:r>
        <w:t>En l'espèce, l'assuré fait valoir que son épouse est en arrêt maladie depuis octobre 2012, et qu’elle est entièrement incapable de travailler. Il rappelle qu’il a produit les rapports de trois médecins différents, spécialistes dans trois domaines distincts pour en attester.</w:t>
      </w:r>
    </w:p>
    <w:p>
      <w:r>
        <w:rPr>
          <w:b/>
        </w:rPr>
        <w:t>E. 10</w:t>
      </w:r>
    </w:p>
    <w:p>
      <w:r>
        <w:t>La Cour de céans relève que l’OAI a rendu un projet de décision le 15 août 2013, refusant d’entrer en matière, que l’épouse de l’assuré a contesté ce projet le 12 septembre 2013 et que par courrier du 16 septembre 2013, l’OAI a admis de procéder à un nouvel examen du dossier à la lumière des arguments avancés. La Cour de céans ne peut, au vu de ce qui précède, que constater que les éléments médicaux figurant dans le dossier ne lui suffisent pas pour trancher la question de la capacité de travail et de gain et partant celle du revenu hypothétique retenu pour l’épouse de l'assuré (cf. notamment ATAS/257/2003). Il se justifie dès lors de suspendre la présente cause jusqu'à droit jugé en matière d'AI.</w:t>
      </w:r>
    </w:p>
    <w:p>
      <w:r>
        <w:t>A/1879/2013 - 9/9 - PAR CES MOTIFS, LA CHAMBRE DES ASSURANCES SOCIALES : 1. Suspend l'instance en application de l’art. 14 LPA, jusqu'à droit jugé en matière d'AI pour l’épouse de l’assuré.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