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ATAS/1032/2025 vom 22. Dezember 2025</w:t>
      </w:r>
    </w:p>
    <w:p>
      <w:r>
        <w:t>GE Cour de justice, 2025-12-22, FR</w:t>
      </w:r>
    </w:p>
    <w:p>
      <w:r>
        <w:rPr>
          <w:b/>
        </w:rPr>
        <w:t xml:space="preserve">Quelle: </w:t>
      </w:r>
      <w:r>
        <w:t>https://mcp.opencaselaw.ch/entscheid/ge_gerichte_ATAS_1032_2025</w:t>
      </w:r>
    </w:p>
    <w:p>
      <w:r>
        <w:t>FR: GE_GERICHTE ATAS/1032/2025 du 22 décembre 2025</w:t>
      </w:r>
    </w:p>
    <w:p>
      <w:r>
        <w:t>IT: GE_GERICHTE ATAS/1032/2025 del 22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w:t>
      </w:r>
    </w:p>
    <w:p>
      <w:r>
        <w:t>A/1952/2024 - 8/16 - entre les points non contestés et l’objet du litige (ATF 125 V 413 consid. 1b et les références).</w:t>
      </w:r>
    </w:p>
    <w:p>
      <w:r>
        <w:rPr>
          <w:b/>
        </w:rPr>
        <w:t>E. 2.1.1</w:t>
      </w:r>
    </w:p>
    <w:p>
      <w:r>
        <w:t>; 130 V 396 consid. 5.3 et 6).</w:t>
      </w:r>
    </w:p>
    <w:p>
      <w:r>
        <w:rPr>
          <w:b/>
        </w:rPr>
        <w:t>E. 2.2</w:t>
      </w:r>
    </w:p>
    <w:p>
      <w:r>
        <w:t>En l’occurrence, le litige porte sur le droit de la recourante à une rente d’invalidité, singulièrement sur l’évaluation de sa capacité de travail et de ses empêchements ménagers, ainsi que sur son statut, cette question étant dans un rapport de connexité étroit avec le calcul du degré d’invalidité.</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(arrêt du Tribunal fédéral 9C _499/2022 du 29 juin 2023 consid. 4.1). En l’occurrence, la décision querellée a certes été rendue postérieurement au 1er janvier 2022. Toutefois, la demande de prestations ayant été déposée en 2020 et le délai d’attente d’une année venant à échéance le 16 septembre 2020, un éventuel droit à une rente d’invalidité naîtrait antérieurement au 1er janvier 2022 (art. 28 al. 1 let. b et 29 al. 1 LAI), de sorte que les dispositions applicables seront citées dans leur teneur en vigueur jusqu’au 31 décembre 2021. En outre, dans la mesure où la recourante avait, au 1er janvier 2022, 30 ans révolus mais moins de 55 ans, la quotité éventuelle de sa rente subsisterait tant que son taux d’invalidité ne subit pas de modification au sens de l’art. 17 al. 1 LPGA.</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w:t>
      </w:r>
    </w:p>
    <w:p>
      <w:r>
        <w:t>A/1952/2024 - 10/16 -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VSI 2001 p. 223 consid. 2b ; arrêt du Tribunal fédéral I 786/04 du 19 janvier 2006 consid. 3.1).</w:t>
      </w:r>
    </w:p>
    <w:p>
      <w:r>
        <w:t>A/1952/2024 - 9/16 -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w:t>
      </w:r>
    </w:p>
    <w:p>
      <w:r>
        <w:rPr>
          <w:b/>
        </w:rPr>
        <w:t>E. 3.2.2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w:t>
      </w:r>
    </w:p>
    <w:p>
      <w:r>
        <w:rPr>
          <w:b/>
        </w:rPr>
        <w:t>E. 3.3.1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3.3.2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3.4</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w:t>
      </w:r>
    </w:p>
    <w:p>
      <w:r>
        <w:t>A/1952/2024 - 11/16 -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3.5.1</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3.5.2</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4</w:t>
      </w:r>
    </w:p>
    <w:p>
      <w:r>
        <w:t>En l’occurrence, l’intimé a refusé à la recourante le droit à une rente d’invalidité, au motif que son degré d’invalidité était, depuis le 1er septembre 2020, de 29% et, depuis le 16 mars 2022, de 9%, calculés, d’une part, en fonction d’un statut mixte 29% active et 71% ménagère et, d’autre part, d’une capacité de travail nulle depuis le 16 septembre 2019 et de 70% dans une activité adaptée depuis le 16 mars 2022. Au vu des conclusions de l’expertise judiciaire du 10 juillet 2025 et de l’avis du SMR du 3 septembre 2025, l’intimé a, par la suite, reconnu à la recourante une incapacité de travail totale dans toute activité depuis le 16 septembre 2019.</w:t>
      </w:r>
    </w:p>
    <w:p>
      <w:r>
        <w:t>A/1952/2024 - 12/16 - La question de la capacité de travail de la recourante n’est ainsi plus litigieuse. À l’issue du délai de carence, le 16 septembre 2020, il convient d’examiner le droit de la recourante à une rente d’invalidité et, préalablement, le statut de celle-ci.</w:t>
      </w:r>
    </w:p>
    <w:p>
      <w:r>
        <w:rPr>
          <w:b/>
        </w:rPr>
        <w:t>E. 4.1</w:t>
      </w:r>
    </w:p>
    <w:p>
      <w:r>
        <w:t>L’intimé a réexaminé le statut de la recourante et conclut à un statut mixte 50% active, 50% ménagère, au lieu de 29% active, 71% ménagère. La recourante estime cependant qu’un statut de 100% active doit lui être reconnu.</w:t>
      </w:r>
    </w:p>
    <w:p>
      <w:r>
        <w:rPr>
          <w:b/>
        </w:rPr>
        <w:t>E. 4.1.1</w:t>
      </w:r>
    </w:p>
    <w:p>
      <w:r>
        <w:t>L’intimé relève que vu l’activité exercée à un taux de 29%, avec réalisation d’heures supplémentaires, un statut d’active à un taux maximum de 50% pouvait être reconnu à la recourante. Un statut de 100% active n’était pas vraisemblable dès lors que la recourante n’avait jamais exercé auparavant une activité à plein temps. La seule inscription à l’assurance chômage en août 2011 n’était pas suffisante pour modifier le statut, tout comme les quelques recherches d’emploi effectuées courant 2014. La perte d’emploi du conjoint et la situation financière de la famille ne pouvaient emporter à eux seuls la conviction nécessaire pour retenir que, sans atteinte à la santé, la recourante aurait travaillé à un taux plein. Quant à la recourante, elle fait valoir qu’elle a immédiatement tenté de travailler dès son arrivée en Suisse. Son enfant grandi, elle aurait cherché un emploi à temps complet, mais son état de santé était déjà fragile. Sans atteinte à la santé, elle aurait travaillé à un taux de 100%.</w:t>
      </w:r>
    </w:p>
    <w:p>
      <w:r>
        <w:rPr>
          <w:b/>
        </w:rPr>
        <w:t>E. 4.1.2</w:t>
      </w:r>
    </w:p>
    <w:p>
      <w:r>
        <w:t>S’agissant des déclarations de la recourante, il ressort tout d’abord du questionnaire statut rempli par la recourante le 20 juin 2021, que celle-ci n’a pas répondu aux questions concernant son intention de travailler si elle était en bonne santé et s’est limitée à mentionner qu’elle travaillait 12,5 à 20 heures par semaine. Cette réponse est manifestement insuffisante pour en déduire qu’elle aurait, en bonne santé, continué d’exercer, au-delà de l’année 2019, une activité à un taux de 29%, voire même de 50%. Il en est de même du rapport d’enquête économique sur le ménage dans lequel l’enquêtrice a coché « oui » à la question de savoir si la recourante, en bonne santé, aurait continué de travailler au même taux. Entendue en audience de comparution personnelle, la recourante a en effet indiqué qu’elle ne se rappelait pas si l’enquêtrice lui avait posé cette question et que, si elle avait été en bonne santé, elle était prête à travailler à 100%. Ces éléments sont déterminants. Le fait qu’ils aient été recueillis en cours de procédure, soit postérieurement à la décision litigieuse, ne diminue pas leur force probante, dès lors que la recourante, non représentée, n’a manifestement pas modifié ses griefs en fonction d’une conscience qu’elle aurait eu des conséquences juridiques concernant l’établissement de son statut. Ces déclarations doivent ainsi être considérées comme celles de « la première heure » (ATF 143 V 168).</w:t>
      </w:r>
    </w:p>
    <w:p>
      <w:r>
        <w:t>A/1952/2024 - 13/16 - Il convient encore d’examiner les autres éléments pertinents, soit la situation financière du ménage, l’éducation des enfants, l’âge de la recourante, ses qualifications et sa formation professionnelle.</w:t>
      </w:r>
    </w:p>
    <w:p>
      <w:r>
        <w:rPr>
          <w:b/>
        </w:rPr>
        <w:t>E. 4.1.3</w:t>
      </w:r>
    </w:p>
    <w:p>
      <w:r>
        <w:t>La recourante a accouché en mars 2008, soit peu après son entrée en Suisse en 2005, étant relevé qu’elle a, dès son arrivée, immédiatement exercé une activité dans le nettoyage à raison de 2 heures chaque soir, augmenté d’heures supplémentaires, les mardis et jeudis (procès-verbal d’audience du 7 octobre 2024). Elle a indiqué qu’elle travaillait ensuite le soir de 18 heures à 20 heures car son mari pouvait être à la maison à ce moment-là pour s’occuper de leur fils (procès-verbal d’audience du 7 octobre 2024). Il apparait ainsi que la recourante s’est principalement consacrée à la garde et à l’éducation de son enfant pendant la période où celui-ci était en bas âge. Elle a néanmoins travaillé à temps partiel et tenté de trouver un emploi à un taux plus important dès 2011, ce qui ressort de son inscription à l’assurance-chômage le 10 août 2011 pour un emploi à un taux de 100%, ainsi que des offres d’emploi produites aux SIS et chez TRAJETS courant 2014. Ces quelques démarches ne permettent toutefois pas d’admettre que la recourante a, dès l’année 2011, soit antérieurement à la survenance de son incapacité de travail totale, recherché activement un emploi à un taux de 100%, de sorte qu’elle aurait eu l’intention de travailler à ce taux. En revanche, postérieurement à la survenance de l’incapacité de travail de la recourante, en septembre 2019, la situation familiale s’est modifiée. La situation financière de la famille s’est en effet détériorée suite à la survenance, courant 2019, de l’incapacité de travail de la recourante et suite à l’accident, en janvier 2021, de son époux, plus particulièrement dès la perte d’emploi de celui-ci le 20 novembre 2022 (cf. lettre de licenciement de L______SA du 14 novembre 2022). Son époux a en effet subi deux opérations, une longue incapacité de travail et a perdu son emploi (rapport du 29 janvier 2024 de la Dre G______, p. 2). Il était d’ailleurs inscrit au chômage au moment des entretiens de l’expertise psychiatrique du BEM (soit en avril / mai 2023) et encore au 7 novembre 2023 (rapport d’enquête ménagère du 6 novembre 2023, p. 3). La recourante a souligné, dans le questionnaire statut, que son fils et son époux dépendaient d’elle, que le budget familial était insuffisant et que depuis septembre 2019 (date de la survenance de son incapacité de travail totale), le revenu familial avait diminué ; elle fait ainsi valoir une situation économique difficile. Elle a confirmé ces faits lors de l’expertise du BEM, en avril / mai 2023, en expliquant qu’elle « ne touche rien », que la vie à Genève est chère et qu’ils ont des poursuites (rapport d’expertise du BEM, p. 26), puis dès août 2024, la famille a dû recourir à l’aide de l’Hospice général (procès-verbal d’audience du 7 octobre 2024). Au demeurant, l’intimé n’a accordé aucun poids à la situation financière et familiale de la recourante. Il s’est en effet limité à indiquer que la perte d’emploi</w:t>
      </w:r>
    </w:p>
    <w:p>
      <w:r>
        <w:t>A/1952/2024 - 14/16 - du conjoint et la situation financière de la famille ne sauraient à eux seuls emporter la conviction que la recourante aurait travaillé à un taux de 100%. Or, ces éléments sont au contraire pertinents et rendent vraisemblable qu’à tout le moins après la perte d’emploi de l’époux de la recourante, fin novembre 2022, celle-ci aurait, en bonne santé, travaillé à un taux de 100%, pour subvenir aux besoins de la famille. Cette hypothèse est confortée par les déclarations de la recourante quant à sa volonté hypothétique. La recourante a, de surcroit, indiqué qu’elle aurait, en bonne santé, tenté une formation à l’IFAGE afin de pouvoir exercer une autre activité que celle dans le nettoyage (procès-verbal d’audience du</w:t>
      </w:r>
    </w:p>
    <w:p>
      <w:r>
        <w:rPr>
          <w:b/>
        </w:rPr>
        <w:t>E. 4.2</w:t>
      </w:r>
    </w:p>
    <w:p>
      <w:r>
        <w:t>Compte tenu de l’incapacité de travail totale de la recourante reconnue par l’intimé dans toute activité dès le 16 septembre 2019, ains que du dépôt de la demande de prestations le 6 mai 2020, la recourante a droit, dès le 1er novembre 2020, à une rente d’invalidité, calculée selon un statut mixte 50% active et 50% ménagère. Dès le 1er décembre 2022, elle a droit à une rente entière d’invalidité. Suivant les conclusions de l’intimé, il convient de lui renvoyer la cause afin de mettre en œuvre une enquête ménagère, portant cependant sur la période limitée du 16 septembre 2020 au 30 novembre 2022 et de calculer le droit à la rente d’invalidité de la recourante pour cette période. 5. Partant, le recours sera partiellement admis, la décision litigieuse annulée et il sera dit que la recourante a droit à une rente entière d’invalidité dès le 1er décembre 2022, la cause étant par ailleurs renvoyée à l’intimé, dans le sens des considérants. La recourante, qui n’est pas représentée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Au vu du sort du recours, il y a lieu de condamner l’intimé au paiement d'un émolument de CHF 200.- (art. 69 al. 1 bis LAI).</w:t>
      </w:r>
    </w:p>
    <w:p>
      <w:r>
        <w:t>A/1952/2024 - 15/16 -</w:t>
      </w:r>
    </w:p>
    <w:p>
      <w:r>
        <w:t>A/1952/2024 - 16/16 - PAR CES MOTIFS, LA CHAMBRE DES ASSURANCES SOCIALES : Statuant À la forme :</w:t>
      </w:r>
    </w:p>
    <w:p>
      <w:r>
        <w:rPr>
          <w:b/>
        </w:rPr>
        <w:t>E. 7</w:t>
      </w:r>
    </w:p>
    <w:p>
      <w:r>
        <w:t>octobre 2024). Cette déclaration est cohérente avec le parcours de la recourante, laquelle a débuté, à Pristina, des études universitaires (le droit puis les langues), qui ont été interrompues en raison de la survenance de la guerre (rapport d’expertise psychiatrique du BEM p. 25). Le fils de la recourante était de surcroit âgé de 14 ans en 2022, soit un âge qui aurait permis à la recourante de travailler à plein temps en plus d’assumer ses tâches éducatives (dans ce sens arrêts du Tribunal fédéral 9C_612/2023 du 3 avril 2024 et 9C_541/2022 du 20 juillet 2023). En conséquence, dès décembre 2022 son statut est celui d’active et jusqu’en novembre 2022, le statut établi par l’intimé de 50% active et 50% ménagère n’est pas contestable.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