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ATAS/1032/2019 vom 11. November 2019</w:t>
      </w:r>
    </w:p>
    <w:p>
      <w:r>
        <w:t>GE Cour de justice, 2019-11-11, FR</w:t>
      </w:r>
    </w:p>
    <w:p>
      <w:r>
        <w:rPr>
          <w:b/>
        </w:rPr>
        <w:t xml:space="preserve">Quelle: </w:t>
      </w:r>
      <w:r>
        <w:t>https://mcp.opencaselaw.ch/entscheid/ge_gerichte_ATAS_1032_2019</w:t>
      </w:r>
    </w:p>
    <w:p>
      <w:r>
        <w:t>FR: GE_GERICHTE ATAS/1032/2019 du 11 novembre 2019</w:t>
      </w:r>
    </w:p>
    <w:p>
      <w:r>
        <w:t>IT: GE_GERICHTE ATAS/1032/2019 del 11 novembre 2019</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c.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L'art. 41 LPGA dispose que si le requérant ou son mandataire a été empêché, sans sa faute, d'agir dans le délai fixé, celui-ci est restitué pour autant que, dans les 30 jours à compter de celui où</w:t>
      </w:r>
    </w:p>
    <w:p>
      <w:r>
        <w:t>A/2198/2018 - 10/16 - l'empêchement a cessé, le requérant ou son mandataire ait déposé une demande motivée de restitution et ait accompli l'acte omis.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et les références). Selon la jurisprudence, le fardeau de la preuve de la notification d'un acte et de la date à laquelle celui-ci a été notifié incombe en principe à l'autorité qui entend en tirer une conséquence juridique (ATF 129 I 8 consid. 2.2, 124 V 400 consid. 2a, 122 I 97 consid. 3b, 114 III 51 consid. 3c et 4, 103 V 63 consid. 2a), laquelle supporte donc les conséquences de l'absence de preuve, en ce sens que, si la notification ou sa date sont contestées et s'il existe un doute à ce sujet, il y a lieu de se fonder sur les déclarations du destinataire de l'envoi (arrêt du Tribunal fédéral 9C_413/2011 du 15 mai 2012 consid. 4.3). Datée du vendredi 25 mai 2018 et postée en courrier A le jour-même, la décision litigieuse a été notifiée à l’adresse professionnelle du recourant auprès de P &amp; G au plus tôt le samedi 26 mai 2018. Dans cette hypothèse, et pour autant que l’intéressé ait été à même d’en prendre connaissance chez P &amp; G un samedi (cf. arrêt du Tribunal fédéral 8C_875/2018 du 24 juillet 2019 consid. 7), le délai de recours aurait commencé à courir le lendemain et serait arrivé à échéance le lundi 25 juin 2018. En revanche, en cas de dépôt du courrier le lundi 28 mai 2018 dans la boîte aux lettre du destinataire, le recours, posté le 27 juin 2018, aurait été interjeté en temps utile. Toutefois, compte tenu l’impossibilité matérielle de documenter les aléas de l’acheminement du courrier (courriers A Plus et recommandés exceptés) et de l’absence de contestation, de la part de l’intimée, de la recevabilité du recours, singulièrement du respect du délai à disposition à cet effet, la chambre de céans considérera que le recours a été interjeté en temps utile. Celui-ci satisfait également aux exigences de forme et de contenu prévues par l’art. 61 let. b LPGA (cf. aussi art. 89B LPA). Touché par ladite décision et ayant un intérêt digne de protection à son annulation ou sa modification, le recourant a qualité pour recourir (art. 59 LPGA).</w:t>
      </w:r>
    </w:p>
    <w:p>
      <w:r>
        <w:rPr>
          <w:b/>
        </w:rPr>
        <w:t>E. 2</w:t>
      </w:r>
    </w:p>
    <w:p>
      <w:r>
        <w:t>Le litige porte sur le statut d’indépendant ou de salarié du recourant en lien avec l’activité lucrative de coiffeur exercée depuis le 1er mai 2017.</w:t>
      </w:r>
    </w:p>
    <w:p>
      <w:r>
        <w:rPr>
          <w:b/>
        </w:rPr>
        <w:t>E. 3</w:t>
      </w:r>
    </w:p>
    <w:p>
      <w:r>
        <w:t>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w:t>
      </w:r>
    </w:p>
    <w:p>
      <w:r>
        <w:t>A/2198/2018 - 11/16 -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4</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(cf. Directives sur le salaire déterminant dans l’AVS, AI et APG [DSD] édictées par l’OFAS, ch. 1020).</w:t>
      </w:r>
    </w:p>
    <w:p>
      <w:r>
        <w:t>A/2198/2018 - 12/16 -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d.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w:t>
      </w:r>
    </w:p>
    <w:p>
      <w:r>
        <w:t>A/2198/2018 - 13/16 -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e. Dans un arrêt, du 1er juin 1978, en la cause M.F. le Tribunal fédéral des assurances a considéré qu’une personne qui travaille dans un salon de coiffure comme « sous-locataire » d’un fauteuil de client doit être considérée comme le salarié du titulaire de cette exploitation, notamment si elle ne peut disposer librement de l’installation louée, comme ce serait le cas avec ses propres locaux. Le fait que le titulaire de l’exploitation ne sache pas exactement quel est le revenu du « sous-locataire » est sans importance pour la qualification de ce revenu (salarié ou indépendant) en matière de cotisations (RCC 1978 p. 517 et s.).</w:t>
      </w:r>
    </w:p>
    <w:p>
      <w:r>
        <w:rPr>
          <w:b/>
        </w:rPr>
        <w:t>E. 5</w:t>
      </w:r>
    </w:p>
    <w:p>
      <w:r>
        <w:t>En l’espèce, le recourant conteste la décision litigieuse en soutenant en substance qu’il assumerait le risque économique d’un entrepreneur et ne se situerait pas dans un rapport de dépendance économique, respectivement dans l’organisation du travail. S’agissant du premier critère, il fait valoir en synthèse qu’il aurait opéré des investissements importants (matériel de coiffure, cours de barbier suivi en juillet 2018 aux Pays-Bas, abonnement de téléphonie mobile, système de paiement Sumup, mise en place d’un système de réservation en ligne, contrats d’assurance responsabilité civile et d’assurance maladie perte de gain, frais de nettoyage du local, etc.), encourrait les pertes et supporterait le risque d’encaissement. En ce qui concerne le second critère, le recourant fait valoir qu’il serait libre d’accepter ou de refuser les clients, tout comme il serait libre d’être présent dans les locaux de P &amp; G dans les limites des heures d’ouverture des locaux. De plus, il lui serait loisible de prendre en charge une clientèle autre que celle définie dans le contrat, à tout le moins hors des locaux de P &amp; G.</w:t>
      </w:r>
    </w:p>
    <w:p>
      <w:r>
        <w:rPr>
          <w:b/>
        </w:rPr>
        <w:t>E. 6</w:t>
      </w:r>
    </w:p>
    <w:p>
      <w:r>
        <w:t>a. Il est vrai que l’activité du recourant présente certaines caractéristiques d’une activité indépendante en tant que l’intéressé facture lui-même ses prestations aux clients, encaisse le prix de celles-ci, achète à ses frais le matériel et les produits nécessaires à son activité et décide d’être présent au salon en fonction de son carnet de rendez-vous. Cela étant, le risque d’encaissement – qui est inhérent à certaines relations juridiques comme le mandat ou le contrat d’entreprise – ne saurait révéler à lui seul l’existence d’un risque d’exploitation (cf. arrêt du Tribunal fédéral des assurances du 14 août 2000, in Pratique VSI 2001 p. 55 consid. 5a). Il en va de même du fait que le recourant coure le risque, en cas d’activité irrégulière, de voir son revenu dépendre du résultat de son propre travail (ATF 122 V 172 consid. 3c, ATF 97 V 138 consid. 2). Or, force est de constater qu’en dehors de ces aspects, non déterminants à eux seuls, divers facteurs plaident en défaveur de l’existence d’un risque économique d’entrepreneur. En effet, le recourant n’occupe pas de</w:t>
      </w:r>
    </w:p>
    <w:p>
      <w:r>
        <w:t>A/2198/2018 - 14/16 - personnel et n’a pas pris à bail ses propres locaux mais utilise ceux gracieusement mis à sa disposition par P &amp; G, mobilier compris. De surcroît, cette dernière prend en charge d’autres frais généraux (électricité, eau, chauffage, etc.), allant jusqu’à lui épargner des dépenses publicitaires (soutien de P &amp; G au « locataire » par la promotion de son activité sur les écrans de la société ; cf. le § 9 du contrat). Enfin, force est de constater que dans la mesure où la prise en charge de la clientèle autorisée du salon (collaborateurs de P &amp; G et leurs conjoints, partenaires de service de P &amp; G basés sur le campus de Genève) occupe le recourant au point qu’il lui est difficile de diversifier sa clientèle, le risque économique encouru réside principalement dans le fait qu’en cas de résiliation du contrat qui le lie à P &amp; G, il se trouverait dans une situation analogue à celle d’un travailleur salarié ayant perdu son emploi – et non dans celle d’un indépendant qui s’expose à la perte de la substance économique de son entreprise. Au regard de ces éléments, le risque économique d’entrepreneur du recourant est très faible tout au plus. Dans ces conditions, et compte tenu de la jurisprudence en matière d’appréciation des activités dans le domaine des services (cf. ci-dessus : consid. 4c in fine), il convient d’accorder davantage d’importance au critère de l'indépendance économique et organisationnelle (ci-après : consid. 6b). b. D’un point de vue organisationnel, le recourant ne peut pas disposer du local mis à sa disposition par P &amp; G comme s’il s’agissait de son propre local. En effet, il n’est autorisé à l’utiliser que pour y exercer « les fonctions de coiffeur » sous la surveillance de P &amp; G qui « veille à [sa] bonne utilisation » (§ 2 ch. 2 du contrat). En outre, l’accès à celui-ci est strictement réglementé, étant donné que le recourant n’est pas autorisé à accorder l’accès aux locaux à des tiers, qu’il doit porter un « badge prestataire » (§ 2 ch. 2 du contrat), fermer le salon à clé après les heures d’ouverture du bâtiment et restituer les clés « au pavillon de sécurité chaque nuit » (§ 5 ch. 6 du contrat). Il est également tenu de respecter les consignes de sécurité de P &amp; G lorsqu’il se trouve dans les locaux de cette dernière (§ 5 ch. 7 du contrat) et de respecter « les comportements standards de P &amp; G sur le lieu de travail de P &amp; G » (§ 5 ch. 10 du contrat). Par ailleurs, même si le recourant conteste – sans toutefois prouver ce qu’il allègue, et en faisant fi de la forme écrite réservée pour les modifications du contrat (cf. § 7 ch. 3 du contrat) – le caractère obligatoire des clauses contractuelles qui l’obligent à encourager la vente de produits P &amp; G, à utiliser, dans la mesure du possible, les marques P &amp; G, tout en lui interdisant la vente de produits concurrents (cf. § 3 du contrat), il n’en reste pas moins intégré à l’organisation de cette entreprise, y compris dans l’exercice de ses fonctions de coiffeur, dans la mesure où la liberté dont il déclare disposer – celle de ne pas être présent au salon – ne s’accorde pas avec le caractère synallagmatique du contrat, celui-ci s’exprimant par le fait que le « [recourant] est prêt à offrir ses services dans les locaux mis à disposition par P &amp; G » (§ 1 ch. 2 du contrat) et qu’il est même tenu de le faire (« is obliged to offer his service » ; § 3 ch. 4 du contrat) selon les horaires d’ouverture et les prix convenus avec P &amp; G, qui plus est uniquement en faveur de la clientèle répondant aux critères définis par l’entreprise. D’ailleurs, les</w:t>
      </w:r>
    </w:p>
    <w:p>
      <w:r>
        <w:t>A/2198/2018 - 15/16 - « modifications des horaires de service doivent être convenues par écrit » (§ 3 ch. 4 du contrat). Enfin, le fait que le recourant indique avoir tellement de clients sur le site P &amp; G que « cela devient très compliqué d’aller coiffer des gens à domicile » (cf. p.-v. d’audience du 1er octobre 2018, p. 3, § 4) montre qu’il exerce une activité régulière qui s’inscrit quasi exclusivement dans l’organisation mise en place par P &amp; G et qui ne lui permet pas, en pratique, lorsqu’il est présent sur le site de la société, d’exercer une activité autre que la prise en charge de clients internes à P &amp; G selon les conditions et tarifs convenus avec cette entreprise. En conséquence, il existe également une dépendance économique du recourant vis-à-vis de P &amp; G.</w:t>
      </w:r>
    </w:p>
    <w:p>
      <w:r>
        <w:rPr>
          <w:b/>
        </w:rPr>
        <w:t>E. 7</w:t>
      </w:r>
    </w:p>
    <w:p>
      <w:r>
        <w:t>En conclusion, le très faible risque d’exploitation encouru par le recourant (cf. ci- dessus : consid. 6a) n’est pas contrebalancé, en l’espèce, par une indépendance organisationnelle et économique. Au contraire, l’existence d’un lien de dépendance très étroit avec P &amp; G montre que le recourant ne traite pas sur un pied d’égalité avec cette dernière (comme le feraient deux entreprises qui entretiendraient des liens commerciaux) et qu’il n’exploite donc pas sa propre affaire selon le principe de la libre entreprise. Il s’ensuit que les revenus que le recourant tire de son activité de coiffeur dans les locaux de P &amp; G proviennent, depuis le 1er mai 2017, d’une activité dépendante au service de cette entreprise.</w:t>
      </w:r>
    </w:p>
    <w:p>
      <w:r>
        <w:rPr>
          <w:b/>
        </w:rPr>
        <w:t>E. 8</w:t>
      </w:r>
    </w:p>
    <w:p>
      <w:r>
        <w:t>Partant, la décision litigieuse ne peut qu'être confirmée et le recours rejeté. Pour le surplus, la procédure est gratuite (art. 61 let. a LPGA).</w:t>
      </w:r>
    </w:p>
    <w:p>
      <w:r>
        <w:t>*****</w:t>
      </w:r>
    </w:p>
    <w:p>
      <w:r>
        <w:t>A/2198/2018 - 16/16 -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