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ATAS/1032/2017 vom 16. November 2017</w:t>
      </w:r>
    </w:p>
    <w:p>
      <w:r>
        <w:t>GE Cour de justice, 2017-11-16, FR</w:t>
      </w:r>
    </w:p>
    <w:p>
      <w:r>
        <w:rPr>
          <w:b/>
        </w:rPr>
        <w:t xml:space="preserve">Quelle: </w:t>
      </w:r>
      <w:r>
        <w:t>https://mcp.opencaselaw.ch/entscheid/ge_gerichte_ATAS_1032_2017</w:t>
      </w:r>
    </w:p>
    <w:p>
      <w:r>
        <w:t>FR: GE_GERICHTE ATAS/1032/2017 du 16 novembre 2017</w:t>
      </w:r>
    </w:p>
    <w:p>
      <w:r>
        <w:t>IT: GE_GERICHTE ATAS/1032/2017 del 16 novembre 2017</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A/3802/2017 ATAS/1032/2017 COUR DE JUSTICE Chambre des assurances sociales Arrêt du 16 novembre 2017 5ème Chambre</w:t>
      </w:r>
    </w:p>
    <w:p>
      <w:r>
        <w:t>En la cause Madame A______, domiciliée à MEYRIN, comparant avec élection de domicile en l'étude de Maître Adriano GIANINAZZI</w:t>
      </w:r>
    </w:p>
    <w:p>
      <w:r>
        <w:t>recourante</w:t>
      </w:r>
    </w:p>
    <w:p>
      <w:r>
        <w:t>contre OFFICE DE L'ASSURANCE-INVALIDITÉ DU CANTON DE GENÈVE, sis rue des Gares 12, GENÈVE intimé</w:t>
      </w:r>
    </w:p>
    <w:p>
      <w:r>
        <w:t>A/3802/2017 - 2/4 - Attendu en fait que, par décision du 3 août 2017, l’office de l’assurance-invalidité du canton de Genève (OAI) a octroyé à Madame A______, née le ______ 1960, une rente entière d’invalidité du 1er octobre 2012 au 31 août 2014 ; Que cette décision a été notifiée à l’assurée sous pli simple ; Que, par acte posté le 15 septembre 2017, l’assurée a formé recours contre cette décision, par l’intermédiaire de son conseil, tout en précisant l'avoir reçue le 5 août 2015 ; Qu'elle a notamment produit avec son recours copie du courrier du docteur B______ du 4 septembre 2017 à l'adresse de la chambre de céans, par lequel celui-ci s'oppose à la décision de l'OAI au nom de sa patiente; Que la chambre de céans n'a pas reçu ce courrier; Que, par courrier du 18 septembre 2017, la chambre de céans a invité la recourante à la renseigner sur d’éventuelles circonstances qui l’auraient empêchée d’agir dans le délai légal de trente jours, afin d’examiner s’il y avait lieu de lui accorder une restitution du délai ; Que le mandataire de la recourante a répondu le 20 septembre 2017 que celle-ci avait reçu la décision litigieuse plusieurs jours après la date de celle-ci ; Qu’elle ne l'avait mandaté que le 8 septembre 2017, le lendemain du Jeûne genevois, et qu'il n’avait reçu son dossier de la part de l'intimé que le 13 suivant ; Que le mandataire a admis avoir posté le recours seulement en date du 15 septembre 2017, après avoir analysé le dossier de plus de 300 pages ; Qu’il a enfin considéré que, compte tenu de la suspension des délais durant les féries judiciaires estivales, le recours était recevable ; Attendu en droit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Qu’en vertu de l’art. 38 al. 4 let. b LPGA, les délais en jours ou en mois fixés par la loi ou par l’autorité ne courent pas du 15 juillet au 15 août inclusivement ; Que, sous cette réserve, le recours doit être déposé dans les trente jours suivant la notification de la décision sujette à recours (art. 60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w:t>
      </w:r>
    </w:p>
    <w:p>
      <w:r>
        <w:t>A/3802/2017 - 3/4 -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Ia 8 consid. 1); que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Que le fardeau de la preuve de la notification d’un acte et de sa date incombe en principe à l’autorité qui entend en tirer une conséquence juridique (ATF 124 V 402 consid. 2a), qu'en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Qu’en l’occurrence, la recourante a admis dans son recours avoir reçu la décision du 3 août 2017 le 5 suivant, soit avant le 15 août, date de l’expiration des féries judiciaires estivales ;</w:t>
      </w:r>
    </w:p>
    <w:p>
      <w:r>
        <w:t>A/3802/2017 - 4/4 - Que le délai de recours a ainsi commencé à courir le 16 août 2017 et qu’il a expiré le 14 septembre 2017 ; Que le courrier du 4 septembre 2017 du Dr B______, qui aurait dû être interprété comme un recours, n'a pas été reçu par la chambre de céans; Qu’il appert ainsi que le recours, posté le 15 suivant, est tardif d’un jour ; Que la recourante ne fait en outre pas valoir avoir été empêchée d'agir dans le délai légal ni n'a demandé une restitution du délai ; Qu’il y a ainsi lieu de constater que son recours est irrecevable pour cause de tardiveté;</w:t>
      </w:r>
    </w:p>
    <w:p>
      <w:r>
        <w:t>***</w:t>
      </w:r>
    </w:p>
    <w:p>
      <w:r>
        <w:t>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