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ATAS/1031/2018 vom 6. November 2018</w:t>
      </w:r>
    </w:p>
    <w:p>
      <w:r>
        <w:t>GE Cour de justice, 2018-11-06, FR</w:t>
      </w:r>
    </w:p>
    <w:p>
      <w:r>
        <w:rPr>
          <w:b/>
        </w:rPr>
        <w:t xml:space="preserve">Quelle: </w:t>
      </w:r>
      <w:r>
        <w:t>https://mcp.opencaselaw.ch/entscheid/ge_gerichte_ATAS_1031_2018</w:t>
      </w:r>
    </w:p>
    <w:p>
      <w:r>
        <w:t>FR: GE_GERICHTE ATAS/1031/2018 du 6 novembre 2018</w:t>
      </w:r>
    </w:p>
    <w:p>
      <w:r>
        <w:t>IT: GE_GERICHTE ATAS/1031/2018 del 6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cum art. 30 LPGA, ainsi que 64 al. 2 et 89A et ss LPA).</w:t>
      </w:r>
    </w:p>
    <w:p>
      <w:r>
        <w:rPr>
          <w:b/>
        </w:rPr>
        <w:t>E. 3</w:t>
      </w:r>
    </w:p>
    <w:p>
      <w:r>
        <w:t>Le litige se limite au point de savoir si l’OAI était fondé à refuser d’entrer en matière sur la nouvelle demande de prestations de l’assuré déposée le 24 juin 2016.</w:t>
      </w:r>
    </w:p>
    <w:p>
      <w:r>
        <w:rPr>
          <w:b/>
        </w:rPr>
        <w:t>E. 4</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w:t>
      </w:r>
    </w:p>
    <w:p>
      <w:r>
        <w:t>A/1415/2018 - 8/12 - motif. Ce contrôle par l’autorité judiciaire n’est en revanche pas nécessaire lorsque l’administration est entrée en matière sur la nouvelle demande (ATF 109 V 114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Lors de l'appréciation du caractère plausible d'une modification déterminante des faits influant sur le droit aux prestations, on compare les faits tels qu'ils se</w:t>
      </w:r>
    </w:p>
    <w:p>
      <w:r>
        <w:t>A/1415/2018 - 9/12 -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w:t>
      </w:r>
    </w:p>
    <w:p>
      <w:r>
        <w:rPr>
          <w:b/>
        </w:rPr>
        <w:t>E. 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6</w:t>
      </w:r>
    </w:p>
    <w:p>
      <w:r>
        <w:t>L’assuré a sollicité l’audition des Drs B______, C______ et D______ et a conclu à ce qu’une expertise pneumologique et psychiatrique soit ordonnée. La chambre de céans écartera cette demande, rappelant qu’en cas de nouvelle demande, l’examen du juge est d’emblée limité au point de savoir si les pièces déposées en procédure administrative justifiaient ou non la reprise de l’instruction du dossier.</w:t>
      </w:r>
    </w:p>
    <w:p>
      <w:r>
        <w:rPr>
          <w:b/>
        </w:rPr>
        <w:t>E. 7</w:t>
      </w:r>
    </w:p>
    <w:p>
      <w:r>
        <w:t>a. Au vu des principes rappelés précédemment, l'état de santé de l'assuré au moment du dépôt de sa nouvelle demande du 24 juin 2016, doit s'apprécier en fonction de ce qu'il était lorsqu'a été rendue la dernière décision en force ayant statué de manière complète sur ses droits en matière d'assurance-invalidité, soit en l'espèce sur la base de l'état du dossier lors de la décision du 31 mai 2012. b. Pour rendre cette première décision, l’OAI s’était fondé sur les rapports du Dr B______ du 8 septembre 2009 et de la Dresse C______ du 1er octobre 2009. Il avait retenu que l’assuré souffrait d’un trouble dépressif récurrent, épisode actuel sévère, ainsi que de fatigue, et qu’il présentait des troubles de mémoire et de concentration. c. À l’appui de sa nouvelle demande, l’assuré a produit un rapport de la consultation-mémoire des HUG du 15 septembre 2016 dont il résulte un déficit cognitif léger de type non amnésique (attentionnel-mémoire de travail) s’inscrivant dans un contexte anxio-dépressif d’intensité modérée, mais chronique,</w:t>
      </w:r>
    </w:p>
    <w:p>
      <w:r>
        <w:t>A/1415/2018 - 10/12 - polymédication psychotropes et glucocorticoïdes, ainsi que des troubles du sommeil sévères (insomnie et SAS). d. Il y a lieu de relever que les troubles de la mémoire et de la concentration avaient été pris en considération par le SMR lors de l’octroi de la demi-rente. Dans son certificat du 29 janvier 2018, le Dr B______ fait état d’une aggravation de ces troubles depuis 2012. Le rapport de la consultation-mémoire des HUG ne mentionne toutefois qu’un déficit cognitif léger. Aucun autre élément ne vient confirmer qu’il y ait eu aggravation à cet égard. e. L’assuré a par ailleurs séjourné à la clinique genevoise de Montana du 18 janvier au 7 février 2017 en raison d’un épisode dépressif modéré. Or, la Dresse C______ avait retenu un trouble dépressif récurrent majeur en 2009, de sorte qu’il y aurait plutôt amélioration de l’état de santé. Il est vrai que dans son rapport du 8 février 2018, la Dresse C______ relève que les épisodes dépressifs sévères se succèdent : 1996/2001-2002/2008-2009/2016-2018, « suite à ce stress post traumatique impossible à vivre, F43.1 ». Elle atteste que l’assuré est actuellement épuisé physiquement et psychiquement et que son incapacité de travail est entière depuis 2015. Elle rapporte enfin ses rêves répétitifs d’enfermement, d’étouffement, son sentiment d’avenir bouché, son évitement à évoquer le traumatisme, son hypersensibilité à la pression et à toutes formes de violence. Ainsi que le relève le médecin du SMR toutefois, le diagnostic d’état de stress post traumatique n’avait jamais été retenu auparavant, ni par la psychiatre elle-même, ni par les médecins de la clinique de Montana. La Dresse C______ décrit le parcours de vie de l’assuré et dit penser que ses graves dépressions font suite à ce diagnostic. Elle ne l’explique pas davantage. Or, elle connaissait l’anamnèse de l’assuré depuis longtemps et n’avait pas même évoqué ce diagnostic jusque-là. Il apparaît ainsi qu’elle fait une appréciation différente d’un même état de fait, ce qui n’appelle pas à une révision. f. Dans son certificat du 20 janvier 2018, le Dr B______ se borne à indiquer que le problème respiratoire persiste. Il n’y a ainsi pas non plus d’aggravation de ce trouble. g. Force est, au vu de ce qui précède, de constater qu’aucun des éléments médicaux à disposition ne permet de conclure à une aggravation de l’état de santé de l’assuré.</w:t>
      </w:r>
    </w:p>
    <w:p>
      <w:r>
        <w:rPr>
          <w:b/>
        </w:rPr>
        <w:t>E. 8</w:t>
      </w:r>
    </w:p>
    <w:p>
      <w:r>
        <w:t>L’assuré fait toutefois valoir qu’il a été considéré comme entièrement incapable de travailler et ce de manière définitive, que ce soit à son poste habituel ou à tout autre poste dans l’administration cantonale. Or, l’OAI doit entrer également en matière lorsque l’état de santé est resté inchangé, mais que ses conséquences sur la capacité de gain ont subi un changement important. Il y a certes lieu de rappeler que l’incapacité de gain se distingue de l’incapacité professionnelle, c’est-à-dire l’incapacité à travailler dans sa profession habituelle.</w:t>
      </w:r>
    </w:p>
    <w:p>
      <w:r>
        <w:t>A/1415/2018 - 11/12 - Si l’assuré est en mesure d’exercer une autre activité raisonnablement exigible sans subir une perte de gain importante, il n’est pas réputé invalide au sens de la loi. (ch. 1021 DII). En l’occurrence, s’il est établi que l’employeur de l’assuré considère que la continuation des rapports de service n’est plus compatible avec le bon fonctionnement de l'administration, soit notamment en raison de l'insuffisance des prestations, de l'inaptitude à remplir les exigences du poste ou la disparition durable d'un motif d'engagement, au sens de l’art. 22 de la loi générale relative au personnel de l’administration cantonale et des établissements publics médicaux du 4 décembre 1997 (LPAC - B 5 05), on ignore s’il peut exercer une activité adaptée auprès d’un autre employeur. Il paraît à cet égard, important de relever que lors de la première décision, l’employeur avait admis que l’assuré pouvait travailler à 50%, ce qui n’est de loin plus le cas, puisqu’il a à présent conclu à l’inaptitude définitive et totale de travail de l’assuré à son poste habituel ou pour tout autre poste dans l’administration cantonale.</w:t>
      </w:r>
    </w:p>
    <w:p>
      <w:r>
        <w:rPr>
          <w:b/>
        </w:rPr>
        <w:t>E. 9</w:t>
      </w:r>
    </w:p>
    <w:p>
      <w:r>
        <w:t>La chambre de céans considère dès lors que l’assuré a rendu plausible que les conséquences de l’état de santé sur sa capacité de gain ont subi un changement. Il se justifie ainsi de renvoyer la cause à l’OAI à charge pour lui d’entrer en matière sur la nouvelle demande de prestations – laquelle a du reste été déposée quatre ans après la décision du 31 mai 2012.</w:t>
      </w:r>
    </w:p>
    <w:p>
      <w:r>
        <w:rPr>
          <w:b/>
        </w:rPr>
        <w:t>E. 10</w:t>
      </w:r>
    </w:p>
    <w:p>
      <w:r>
        <w:t>Aussi le recours est-il admis et la cause renvoyée à l’OAI pour instruction de la demande de prestations du 24 juin 2016 et nouvelle décision.</w:t>
      </w:r>
    </w:p>
    <w:p>
      <w:r>
        <w:t>A/1415/2018 - 12/12 -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