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ATAS/1031/2014 vom 29. September 2014</w:t>
      </w:r>
    </w:p>
    <w:p>
      <w:r>
        <w:t>GE Cour de justice, 2014-09-29, FR</w:t>
      </w:r>
    </w:p>
    <w:p>
      <w:r>
        <w:rPr>
          <w:b/>
        </w:rPr>
        <w:t xml:space="preserve">Quelle: </w:t>
      </w:r>
      <w:r>
        <w:t>https://mcp.opencaselaw.ch/entscheid/ge_gerichte_ATAS_1031_2014</w:t>
      </w:r>
    </w:p>
    <w:p>
      <w:r>
        <w:t>FR: GE_GERICHTE ATAS/1031/2014 du 29 septembre 2014</w:t>
      </w:r>
    </w:p>
    <w:p>
      <w:r>
        <w:t>IT: GE_GERICHTE ATAS/1031/2014 del 29 settembre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le droit à l'indemnité journalière de chômage du recourant.</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31 al. 3 let. c LACI prévoit que n’ont pas droit à l’indemnité en cas de réduction de l’horaire de travail, les personnes qui fixent les décisions que prend l’employeur – ou peuvent les influencer considérablement – en qualité d’associé, de</w:t>
      </w:r>
    </w:p>
    <w:p>
      <w:r>
        <w:t>A/1901/2014 - 8/12 - membre d’un organe dirigeant de l’entreprise ou encore de détenteur d’une participation financière à l’entreprise ; il en va de même des conjoints de ces personnes, qui sont occupés dans l’entreprise (art. 31 al. 3 let. b LACI).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ATFA non publié C 65/04 du 29 juin 2004, consid. 2). La jurisprudence étend l’exclusion du conjoint du droit à l’indemnité en cas de réduction de l’horaire de travail au droit à l’indemnité de chômage (ATFA non publié C 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non publié C 50/04 du 26 juillet 2005, consid. 3.2). c)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w:t>
      </w:r>
    </w:p>
    <w:p>
      <w:r>
        <w:t>A/1901/2014 - 9/12 - d’exister mais que le salarié, par suite de la résiliation de son contrat, rompt définitivement tout lien avec la société. Dans un cas comme dans l’autre, l’intéressé peut en principe prétendre des indemnités de chômage. d)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e)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La preuve de l'existence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w:t>
      </w:r>
    </w:p>
    <w:p>
      <w:r>
        <w:rPr>
          <w:b/>
        </w:rPr>
        <w:t>E. 5</w:t>
      </w:r>
    </w:p>
    <w:p>
      <w:r>
        <w:t>Les directives (bulletin LACI, 2013) résument ainsi les faits entraînant le départ définitif ou l’abandon définitif de la position assimilable à celle d’un employeur:</w:t>
      </w:r>
    </w:p>
    <w:p>
      <w:r>
        <w:t>A/1901/2014 - 10/12 - - la fermeture de l’entreprise ; - la faillite de l’entreprise ; - la vente de l’entreprise et/ou de la participation financière avec abandon de la position assimilable à celle d’un employeur ; - le congé avec perte de la position assimilable à celle d’un employeur.</w:t>
      </w:r>
    </w:p>
    <w:p>
      <w:r>
        <w:rPr>
          <w:b/>
        </w:rPr>
        <w:t>E. 6</w:t>
      </w:r>
    </w:p>
    <w:p>
      <w:r>
        <w:t>Selon le bulletin LACI Indemnité en cas de réduction de l'horaire de travail (Bulletin LACI RHT, version janvier 2014, B 41), les collaborateurs membres du conseil d'administration d'une société anonyme, les associés d'une Sàrl ou des tiers qui occupent une position dirigeante au sein de cette société ne feront pas l'objet de cette vérification différenciée des circonstances inhérentes à l'entreprise, car la loi leur confie d'emblée un pouvoir de décision déterminant. La caisse leur niera le droit à l'indemnité sans autre forme de vérification. C'est à partir de la date de son retrait effectif et non de celle de sa radiation du registre du commerce qu'un assuré est considéré comme ne faisant plus partie d'un organe de décision, pour autant que la date effective de son retrait puisse être prouvée, par exemple à l'aide d'une décision de l'assemblée générale, d'un procès- verbal des décisions ou d'un autre document semblable. Ainsi, un membre du conseil d'administration n'ayant que 2 % des actions qui jouit du droit de signature collective à deux doit être exclu du cercle des ayants droit à l'indemnité sans autre vérification et indépendamment de ses activités et de la répartition interne des tâches, même si, p. ex., la présidente du conseil d'administration détient 95 % des actions et signe individuellement.</w:t>
      </w:r>
    </w:p>
    <w:p>
      <w:r>
        <w:rPr>
          <w:b/>
        </w:rPr>
        <w:t>E. 7</w:t>
      </w:r>
    </w:p>
    <w:p>
      <w:r>
        <w:t>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rPr>
          <w:b/>
        </w:rPr>
        <w:t>E. 8</w:t>
      </w:r>
    </w:p>
    <w:p>
      <w:r>
        <w:t>En l’espèce, il n’est pas contesté que le recourant est inscrit au registre du commerce en qualité d’administrateur avec signature individuelle depuis septembre 2013. Cette seule condition implique que celui-ci n’a, au sens de la jurisprudence, pas droit à l’indemnité chômage, sans qu’il ne soit nécessaire de procéder à une vérification différenciée des circonstances inhérentes à l'entreprise, car la loi lui confie d'emblée un pouvoir de décision déterminant. La caisse était en droit de lui nier le droit à l'indemnité sans autre forme de vérification.</w:t>
      </w:r>
    </w:p>
    <w:p>
      <w:r>
        <w:t>A/1901/2014 - 11/12 - Le choix opéré par l’assuré de préférer rester administrateur pour un revenu de CHF 1'000.- mensuel plutôt que de faire valoir les droits découlant de son contrat de travail a impliqué la perte des indemnités de chômage. Les divergences de dates, entre les pièces du dossier et les déclarations de l’employé n’ont pas besoin d’être éclaircies davantage, à l’instar de la modification du statut de l’employé au 30 septembre 2014 selon le RC, ou à janvier 2014 selon les déclarations de l’employé.</w:t>
      </w:r>
    </w:p>
    <w:p>
      <w:r>
        <w:rPr>
          <w:b/>
        </w:rPr>
        <w:t>E. 9</w:t>
      </w:r>
    </w:p>
    <w:p>
      <w:r>
        <w:t>En restant inscrit au registre du commerce, il a, de facto, continué à occuper une position assimilable à celle d'un employeur dans l’entreprise.</w:t>
      </w:r>
    </w:p>
    <w:p>
      <w:r>
        <w:rPr>
          <w:b/>
        </w:rPr>
        <w:t>E. 10</w:t>
      </w:r>
    </w:p>
    <w:p>
      <w:r>
        <w:t>Au vu de ce qui précède, il y a lieu de constater que le recourant ne remplit pas les conditions d’assurance, et que son droit aux indemnités de chômage lui a été valablement nié.</w:t>
      </w:r>
    </w:p>
    <w:p>
      <w:r>
        <w:rPr>
          <w:b/>
        </w:rPr>
        <w:t>E. 11</w:t>
      </w:r>
    </w:p>
    <w:p>
      <w:r>
        <w:t>Mal fondé, le recours est rejeté.</w:t>
      </w:r>
    </w:p>
    <w:p>
      <w:r>
        <w:rPr>
          <w:b/>
        </w:rPr>
        <w:t>E. 12</w:t>
      </w:r>
    </w:p>
    <w:p>
      <w:r>
        <w:t>La procédure est gratuite (art. 61 let. a LPGA). Le recourant n’ayant pas obtenu gain de cause, il ne peut pas prétendre à l’octroi de dépens (art. 61 let. g LPGA).</w:t>
      </w:r>
    </w:p>
    <w:p>
      <w:r>
        <w:t>*******</w:t>
      </w:r>
    </w:p>
    <w:p>
      <w:r>
        <w:t>A/1901/2014 - 12/12 -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