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ATAS/1031/2013 vom 22. Oktober 2013</w:t>
      </w:r>
    </w:p>
    <w:p>
      <w:r>
        <w:t>GE Cour de justice, 2013-10-22, FR</w:t>
      </w:r>
    </w:p>
    <w:p>
      <w:r>
        <w:rPr>
          <w:b/>
        </w:rPr>
        <w:t xml:space="preserve">Quelle: </w:t>
      </w:r>
      <w:r>
        <w:t>https://mcp.opencaselaw.ch/entscheid/ge_gerichte_ATAS_1031_2013</w:t>
      </w:r>
    </w:p>
    <w:p>
      <w:r>
        <w:t>FR: GE_GERICHTE ATAS/1031/2013 du 22 octobre 2013</w:t>
      </w:r>
    </w:p>
    <w:p>
      <w:r>
        <w:t>IT: GE_GERICHTE ATAS/1031/2013 del 22 ottobre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en temps utile, le présent recours est recevable (art. 39 al. 1 et 60 al. 2 LPGA).</w:t>
      </w:r>
    </w:p>
    <w:p>
      <w:r>
        <w:rPr>
          <w:b/>
        </w:rPr>
        <w:t>E. 3</w:t>
      </w:r>
    </w:p>
    <w:p>
      <w:r>
        <w:t>Le litige porte sur le droit de l'assurée à une demi-rente d’invalidité, en lieu et place d’un quart de rente.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A/1968/2013 - 6/11 -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9</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w:t>
      </w:r>
    </w:p>
    <w:p>
      <w:r>
        <w:t>A/1968/2013 - 7/11 -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rPr>
          <w:b/>
        </w:rPr>
        <w:t>E. 12</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w:t>
      </w:r>
    </w:p>
    <w:p>
      <w:r>
        <w:t>A/1968/2013 - 8/11 - équilibré et la durée prévisible des rapports de travail (ATFA non publié I 750/04 du 5 avril 2006 consid. 5.3, in SVR 2007 IV n° 1 p. 1; ATFA non publié I 11/00 du 22 août 2001 consid. 5a/bb, in VSI 2001 p. 274). Ainsi doit-on pouvoir exiger de celui qui requiert des prestations qu'ils prennent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HÜRZELER, Prävention im Haftpflicht- und Sozialversicherungsrecht, in Prävention im Recht, 2007, p. 172 sv.).</w:t>
      </w:r>
    </w:p>
    <w:p>
      <w:r>
        <w:rPr>
          <w:b/>
        </w:rPr>
        <w:t>E. 13</w:t>
      </w:r>
    </w:p>
    <w:p>
      <w:r>
        <w:t>En l'espèce, l'OAI a reconnu le droit de l'assurée à un quart de rente d'invalidité sur la base du rapport établi par la Dresse P__________ le 24 octobre 2012. Celle-ci en effet a conclu à une capacité de travail de 60% dans toute activité depuis le 22 décembre 2010. C'est du reste ce taux qu’a également retenu le médecin traitant le 1er novembre 2011. Le fait est que l'assurée travaillait alors effectivement à 60%. La Cour de céans constate toutefois que la Dresse P__________ avait elle-même relevé qu’en raison d’une importante fatigue, le trouble de la concentration et de l’attention et des attaques de panique à des fréquences de plusieurs fois par semaine, l’état de l’assurée ne s’est pas amélioré de façon significative qui puisse justifier une augmentation de sa capacité de travail, et avait considéré que l’assurée travaillait au-dessus de ses forces. Dans le rapport d'évaluation interne du 6 décembre 2011 déjà, il était indiqué qu'elle travaillait "dans un environnement stressant et compétitif", ce qui paraît en soi difficilement conciliable avec son état de santé. Il y a également lieu de constater que le médecin traitant avait d’emblée précisé que le rendement était de 80%. Il a confirmé son estimation le 20 février 2012, en</w:t>
      </w:r>
    </w:p>
    <w:p>
      <w:r>
        <w:t>A/1968/2013 - 9/11 - prenant toutefois soin de rappeler que l'assurée travaille toujours à ce taux, et en évaluant la capacité de travail dans une autre activité entre 50 et 60%. Il n’est dans ces conditions pas étonnant que finalement elle ait réduit son temps de travail à 50%, ce dès le 1er novembre 2012. Le Dr N__________ vient à cet égard confirmer, le 31 janvier 2013, l’incapacité de travail de sa patiente à assumer un travail à plus de 50% depuis cette date. La Cour de céans est d’avis, au vu de ce qui précède, qu’il ne s’agit pas d’une appréciation différente d’une même situation, comme le prétend l’OAI. Il est vrai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Dans le cas d’espèce toutefois, il est établi, au degré de vraisemblance requis par la jurisprudence, que l’assurée travaille depuis novembre 2012 au maximum de ses possibilités.</w:t>
      </w:r>
    </w:p>
    <w:p>
      <w:r>
        <w:rPr>
          <w:b/>
        </w:rPr>
        <w:t>E. 14</w:t>
      </w:r>
    </w:p>
    <w:p>
      <w:r>
        <w:t>Reste à déterminer le degré d’invalidité.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Dans le cas toutefois où, comme en l'espèce, l'assuré travaille dans son activité antérieure, la comparaison des gains se fait par rapport à son taux d'activité avant l'invalidité et celui après la survenance de l'invalidité. En effet, l'incapacité de travail se confond ici avec le degré d'invalidité. Il y a dès lors lieu de retenir un degré d’invalidité de 50%, ce qui ouvre le droit à une demi-rente d’invalidité conformément à l’art. 28 LAI.</w:t>
      </w:r>
    </w:p>
    <w:p>
      <w:r>
        <w:rPr>
          <w:b/>
        </w:rPr>
        <w:t>E. 15</w:t>
      </w:r>
    </w:p>
    <w:p>
      <w:r>
        <w:t>Aux termes de l’art. 88a al. 2 RAI, «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 En l’espèce, le degré d’invalidité de 50% doit être retenu à compter du 1er novembre 2012, de sorte que l’assurée a droit à la demi-rente depuis le 1er février 2013.</w:t>
      </w:r>
    </w:p>
    <w:p>
      <w:r>
        <w:rPr>
          <w:b/>
        </w:rPr>
        <w:t>E. 16</w:t>
      </w:r>
    </w:p>
    <w:p>
      <w:r>
        <w:t>Au vu de ce qui précède, le recours est admis et la décision querellée annulée.</w:t>
      </w:r>
    </w:p>
    <w:p>
      <w:r>
        <w:t>A/1968/2013 - 10/11 -</w:t>
      </w:r>
    </w:p>
    <w:p>
      <w:r>
        <w:rPr>
          <w:b/>
        </w:rPr>
        <w:t>E. 17</w:t>
      </w:r>
    </w:p>
    <w:p>
      <w:r>
        <w:t>Le recourant, qui obtient gain de cause, a droit à une indemnité à titre de participation à ses frais et dépens, que la Cour fixe en l'espèce à 1'500 fr. (art. 61 let. g LPGA ; art. 89H al. 3 de la loi sur la procédure administrative du 12 septembre 1985 - LPA ; RS E 5 10).</w:t>
      </w:r>
    </w:p>
    <w:p>
      <w:r>
        <w:rPr>
          <w:b/>
        </w:rPr>
        <w:t>E. 18</w:t>
      </w:r>
    </w:p>
    <w:p>
      <w:r>
        <w:t>Un émolument de 200 fr. est mis à la charge de l'intimé (art. 69 al. 1bis LAI).</w:t>
      </w:r>
    </w:p>
    <w:p>
      <w:r>
        <w:t>A/1968/2013 - 11/11 -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