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ATAS/1030/2010 vom 19. November 2009</w:t>
      </w:r>
    </w:p>
    <w:p>
      <w:r>
        <w:t>GE Cour de justice, 2009-11-19, FR</w:t>
      </w:r>
    </w:p>
    <w:p>
      <w:r>
        <w:rPr>
          <w:b/>
        </w:rPr>
        <w:t xml:space="preserve">Quelle: </w:t>
      </w:r>
      <w:r>
        <w:t>https://mcp.opencaselaw.ch/entscheid/ge_gerichte_ATAS_1030_2010</w:t>
      </w:r>
    </w:p>
    <w:p>
      <w:r>
        <w:t>FR: GE_GERICHTE ATAS/1030/2010 du 19 novembre 2009</w:t>
      </w:r>
    </w:p>
    <w:p>
      <w:r>
        <w:t>IT: GE_GERICHTE ATAS/1030/2010 del 19 novembre 2009</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w:t>
      </w:r>
    </w:p>
    <w:p>
      <w:r>
        <w:t>A/1785/2010 4/7</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seuls avoirs de prévoyance du demandeur. Il ressort des considérants du jugement de divorce que le juge civil a retenu que bien que l'accord entre les parties, par lequel le demandeur renonce à modérer le partage en considération de l'indemnité équitable à laquelle il aurait en principe droit, en raison de l'impossibilité du partage de la prévoyance professionnelle de la demanderesse, soit favorable à la demanderesse, il reste admissible en regard des articles 123 al. 1 et 124 CCS. Ainsi que le juge civil l'a rappelé, lorsqu'un cas de prévoyance est déjà survenu pour l'un des époux, le partage de la prestation de sortie ne peut être effectué par la caisse de prévoyance au sens de l'art. 141 CC. La nouvelle réglementation en matière de prévoyance fait en effet une distinction selon que le divorce est prononcé avant la survenance d'un cas de prévoyance (art. 122 et 123 CC) ou après (art. 124 CC). La survenance effective d'un cas de prévoyance rend le partage des avoirs de prévoyance impossible, si minimes soient les prestations versées ou les avoirs à leur base. Dans cette hypothèse, la seule possibilité qui reste au juge du divorce est de fixer le montant de l'indemnité équitable en tenant compte de cet élément (SUTTER/FREIBURGHAUS, op. cit., ad. Art. 124 n°3). Tel est donc le cas en l'espèce et c'est ainsi qu'il faut interpréter le jugement de divorce: estimant qu'il serait inéquitable de tenir compte d'une part de sa prévoyance de la demanderesse, à imputer sur la prestation de libre passage du demandeur, le juge civil a accepté que le demandeur verse à la demanderesse une indemnité équitable, équivalent à la moitié de ses avoirs de prévoyance et ce, par la cession à la demanderesse d'une partie de la prestation de sortie (cf. Jacques-André SCHNEIDER/Christian BRUCHEZ, la prévoyance professionnelle et le divorce, p. 245, ch. 4.5.3). L'indemnité équitable au sens de l'art. 124 CC, qu'elle soit versée sous forme de capital ou sous forme de rente, doit servir, selon l'opinion de certains auteurs, à</w:t>
      </w:r>
    </w:p>
    <w:p>
      <w:r>
        <w:t>A/1785/2010 5/7 assurer la prévoyance du conjoint créancier, et non son entretien courant (BAUMANN/LAUTERBURG, in Schwenzer [éd.], FamKomm Scheidung, 2005, n. 69 ad art. 124 CC; GRÜTTER/SUMMERMATTER, Erstinstanzliche Erfahrungen mit dem Vorsorgeausgleich bei Scheidungen, insbesondere nach Art. 124 ZGB, in FamPra.ch 2002 p. 641 ss, 667). C'est pourquoi ces auteurs préconisent que lorsqu'un cas de prévoyance n'est pas encore survenu chez le conjoint créancier, cette indemnité équitable ne soit pas versée sur un compte à sa libre disposition, mais sous une forme qui garantisse le maintien de l'indemnité à des fins de prévoyance jusqu'à la survenance d'un cas de prévoyance (BAUMANN/LAUTERBURG, op. cit., n. 69 ad art. 124 CC; cf. KOLLER, Wohin mit der angemessenen Entschädigung nach Art. 124 ZGB?, in RJB 138/2002 p. 1 ss, 4). Ces mêmes auteurs soulignent en revanche que dès que le cas de prévoyance est survenu chez le conjoint créancier, rien ne s'oppose à ce que celui-ci puisse obtenir le versement de l'indemnité en espèces et en disposer librement (BAUMANN/LAUTERBURG, op. cit., n. 70 ad art. 124 CC; cf. KOLLER, op. cit., p. 6). En l'occurrence, le partage de l'avoir du demandeur est en réalité une modalité du versement de l'indemnité que le juge civil a souhaité voir allouée à la demanderesse. Celle-ci étant déjà au bénéfice d'une rente AI, il n'est pas obligatoire de verser le montant dû sur un compte de prévoyance, comme en cas de partage, mais sur le compte de son choix. Or, l'assurée a fait ouvrir un compte de libre passage à l'UBS et a confirmé ce choix. Les dates pertinentes sont, d’une part, celle du mariage, le 29 mai 1984, d’autre part le 14 janvier 2010, date à laquelle le jugement de divorce est devenu exécutoire. Selon les documents produits, la prestation acquise pendant le mariage par le demandeur est de 123'317 fr. 50. Ainsi le demandeur doit à son ex-épouse le montant de 61'658 fr 75 (123'317 fr. 50 fr. : 2).</w:t>
      </w:r>
    </w:p>
    <w:p>
      <w:r>
        <w:rPr>
          <w:b/>
        </w:rPr>
        <w:t>E. 4</w:t>
      </w:r>
    </w:p>
    <w:p>
      <w:r>
        <w:t>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2,75% dès le 1er janvier 2008 et 2% dès le 1er janvier 2009. En l'espèce, l'intégralité de l'avoir de prévoyance a été accumulé durant le mariage, de sorte qu'il n'y a pas d'intérêts à calculer.</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w:t>
      </w:r>
    </w:p>
    <w:p>
      <w:r>
        <w:t>A/1785/2010 6/7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w:t>
      </w:r>
    </w:p>
    <w:p>
      <w:r>
        <w:t>A/1785/2010 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