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ATAS/1030/2008 vom 13. Juni 2007</w:t>
      </w:r>
    </w:p>
    <w:p>
      <w:r>
        <w:t>GE Cour de justice, 2007-06-13, FR</w:t>
      </w:r>
    </w:p>
    <w:p>
      <w:r>
        <w:rPr>
          <w:b/>
        </w:rPr>
        <w:t xml:space="preserve">Quelle: </w:t>
      </w:r>
      <w:r>
        <w:t>https://mcp.opencaselaw.ch/entscheid/ge_gerichte_ATAS_1030_2008</w:t>
      </w:r>
    </w:p>
    <w:p>
      <w:r>
        <w:t>FR: GE_GERICHTE ATAS/1030/2008 du 13 juin 2007</w:t>
      </w:r>
    </w:p>
    <w:p>
      <w:r>
        <w:t>IT: GE_GERICHTE ATAS/1030/2008 del 13 giugno 2007</w:t>
      </w:r>
    </w:p>
    <w:p>
      <w:pPr>
        <w:pStyle w:val="Heading2"/>
      </w:pPr>
      <w:r>
        <w:t>Erwägungen</w:t>
      </w:r>
    </w:p>
    <w:p>
      <w:r>
        <w:rPr>
          <w:b/>
        </w:rPr>
        <w:t>E. 23</w:t>
      </w:r>
    </w:p>
    <w:p>
      <w:r>
        <w:t>mai 2005, K 162/04, consid. 6) ; que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que s'il ne dispose pas d'un tel titre de mainlevée, il doit faire valoir le bien-fondé de sa prétention par la voie de la procédure administrative, conformément à l'art. 79 LP (ATF 131 V 147; RAMA 2004 n° KV 306 p. 465 consid. 5.3.1 et 5.3.2) ; Qu'il n'est pas contestable en l'espèce que l'assuré est tenu de s'acquitter des primes d'assurance d'octobre à décembre 2006 ; Qu'il fait subsidiairement valoir la compensation avec les participations dues par la caisse-maladie ; Que toutefois même lorsque la caisse-maladie est débitrice envers un assuré de prestations non remboursées, celui-ci ne peut pas refuser de payer les primes dues ; qu'en effet, il n'est pas en droit d'éteindre cette créance en lui opposant, en compensation, ses prétentions à la prise en charge de frais médicaux par l'assurance- maladie puisque, si les caisses-maladie reconnues - organisées selon le droit public ou le droit privé - peuvent compenser des prestations d'assurance échues avec des créances de</w:t>
      </w:r>
    </w:p>
    <w:p>
      <w:r>
        <w:t>A/3331/2007 - 5/6 - cotisations arriérées, le même droit n'appartient pas aux assurés (cf. ATF 110 V 183; SVR 2006 KV Nr. 11 S. 32; RAMA 2005 n° KV 343 p. 358) ; Que sous l'empire de la LAMal et suivant la jurisprudence relative à l'art. 12 al. 2 let. b OAMal, 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 qu'une telle mesure doit toutefois être prévue expressément par les dispositions générales sur les droits et obligations des assurés ; que cette pratique vaut également depuis l'entrée en vigueur de la LPGA (ATFA non publié du 5 juillet 2004, K 21/04, consid.3; RAMA 2004 KV 306 p. 463; ATF 125 V 276 consid. 2c) ; que les frais de poursuite incombent également dans ce cas au débiteur (art. 68 LP; consid. 2b de l'arrêt ATF 125 précité, publié dans la RAMA 1999 n° K 88 p. 442) ; que l'art. 90 al. 5 OAMal (en vigueur du 1er janvier au 31 décembre 2006), consacre d'ailleurs cette pratique et est applicable dans le présent cas puisque la sommation et la poursuite ont eu lieu en 2007 ; Que même si la caisse-maladie est en droit de facturer à l’assuré les frais de rappel qu’elle doit engager pour les procédures de rappel, de poursuite et de recouvrement de ses créances, de tels frais doivent être imputables à une faute de l'assuré ; qu'il y a faute de l'assuré, lorsque, par son comportement, il oblige la caisse à lui adresser des rappels pour l'exhorter à payer ses cotisations (ATFA non publié du 29 janvier 2003, K 28/02, consid. 5) ; Qu'en l'espèce toutefois, la façon dont les divers paiements effectués par l'assuré à la caisse-maladie ont été attribués n'a pas été clairement établie ; que l'on ne saurait considérer dans ces conditions que les primes d'octobre à décembre 2006 soient restées en souffrance par la faute de l'assuré ; que dès lors, il se justifie de ne confirmer la décision sur opposition qu'à hauteur de la somme de 101 fr. 70, sans tenir compte des frais de rappel et de poursuite ;</w:t>
      </w:r>
    </w:p>
    <w:p>
      <w:r>
        <w:t>A/3331/2007 - 6/6 -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