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ATAS/102/2026 vom 9. Februar 2026</w:t>
      </w:r>
    </w:p>
    <w:p>
      <w:r>
        <w:t>GE Cour de justice, 2026-02-09, FR</w:t>
      </w:r>
    </w:p>
    <w:p>
      <w:r>
        <w:rPr>
          <w:b/>
        </w:rPr>
        <w:t xml:space="preserve">Quelle: </w:t>
      </w:r>
      <w:r>
        <w:t>https://mcp.opencaselaw.ch/entscheid/ge_gerichte_ATAS_102_2026</w:t>
      </w:r>
    </w:p>
    <w:p>
      <w:r>
        <w:t>FR: GE_GERICHTE ATAS/102/2026 du 9 février 2026</w:t>
      </w:r>
    </w:p>
    <w:p>
      <w:r>
        <w:t>IT: GE_GERICHTE ATAS/102/2026 del 9 febbraio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1.3</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au plus tôt en décembre 2024, dès lors que la demande de prestations a été déposée en juin 2024 (cf. art. 28 al. 1 let. b et 29 al. 1 LAI), de sorte que les dispositions légales applicables seront citées dans leur nouvelle teneur.</w:t>
      </w:r>
    </w:p>
    <w:p>
      <w:r>
        <w:t>A/3402/2025 - 5/9 -</w:t>
      </w:r>
    </w:p>
    <w:p>
      <w:r>
        <w:rPr>
          <w:b/>
        </w:rPr>
        <w:t>E. 2</w:t>
      </w:r>
    </w:p>
    <w:p>
      <w:r>
        <w:t>Le litige porte sur le droit du recourant à une rente d’invalidité et à une mesure de réadaptation.</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3.2</w:t>
      </w:r>
    </w:p>
    <w:p>
      <w:r>
        <w:t>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t>A/3402/2025 - 6/9 - Sans remettre en cause le principe de la libre appréciation des preuves, le Tribunal fédéral des assurances a posé des lignes directrices en ce qui concerne la manière d'apprécier certains types d'expertises ou de rapports médicaux.</w:t>
      </w:r>
    </w:p>
    <w:p>
      <w:r>
        <w:rPr>
          <w:b/>
        </w:rPr>
        <w:t>E. 3.2.1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3.2.2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3.2.3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3.2.4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3.2.5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w:t>
      </w:r>
    </w:p>
    <w:p>
      <w:r>
        <w:t>A/3402/2025 - 7/9 -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w:t>
      </w:r>
    </w:p>
    <w:p>
      <w:r>
        <w:t>En l’occurrence, l’intimé s’est fondé sur l’expertise bidisciplinaire des Drs J______ et I______ pour retenir une capacité de travail du recourant de 100% depuis toujours.</w:t>
      </w:r>
    </w:p>
    <w:p>
      <w:r>
        <w:t>A/3402/2025 - 8/9 - Le recourant conteste cette appréciation et fait valoir une dépression stationnaire et des problèmes somatiques. Il demande une contre-expertise. Au vu des pièces médicales au dossier, il n’existe pas d’indice concret permettant de douter du bien fondé de l’expertise administrative bidisciplinaire. S’agissant de l’aspect psychiatrique, le médecin du CAPPI auprès duquel le recourant avait un suivi, questionné par la chambre de céans, n’a pas émis de critique à l’égard de l’expertise du Dr I______. Par ailleurs, les attestations d’incapacité de travail totale délivrées par les Dres G______ en septembre 2024 et H______ en décembre 2024, du CAPPI, ne permettent pas de conclure à une incapacité de travail durable du recourant et le rapport du 13 juillet 2024 du Dr E______ est insuffisant pour mettre en doute l’évaluation des experts. S’agissant de l’aspect somatique, aucun avis médical critique l’expertise somatique du Dr J______. Enfin, le recourant lui-même a indiqué à la chambre de céans et au CAPPI qu’il avait repris, début octobre 2025, une activité à un taux de 100%. Au demeurant, les conclusions de l’expertise administrative bidisciplinaire peuvent être suivies et le recourant doit être reconnu apte à exercer une activité lucrative à un taux de 100%, de sorte que la décision de l’intimé ne prête pas le flanc à la critique. Il n’y a pas lieu non plus, dans ces conditions, d’allouer au recourant une mesure de réadaptation.</w:t>
      </w:r>
    </w:p>
    <w:p>
      <w:r>
        <w:rPr>
          <w:b/>
        </w:rPr>
        <w:t>E. 5</w:t>
      </w:r>
    </w:p>
    <w:p>
      <w:r>
        <w:t>Au vu de ce qui précède, le recours doit être rejeté. Il y a lieu de condamner le recourant au paiement d'un émolument de CHF 200.- (art. 69 al. 1 bis LAI).</w:t>
      </w:r>
    </w:p>
    <w:p>
      <w:r>
        <w:t>A/3402/2025 - 9/9 -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