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ATAS/102/2020 vom 17. Februar 2020</w:t>
      </w:r>
    </w:p>
    <w:p>
      <w:r>
        <w:t>GE Cour de justice, 2020-02-17, FR</w:t>
      </w:r>
    </w:p>
    <w:p>
      <w:r>
        <w:rPr>
          <w:b/>
        </w:rPr>
        <w:t xml:space="preserve">Quelle: </w:t>
      </w:r>
      <w:r>
        <w:t>https://mcp.opencaselaw.ch/entscheid/ge_gerichte_ATAS_102_2020</w:t>
      </w:r>
    </w:p>
    <w:p>
      <w:r>
        <w:t>FR: GE_GERICHTE ATAS/102/2020 du 17 février 2020</w:t>
      </w:r>
    </w:p>
    <w:p>
      <w:r>
        <w:t>IT: GE_GERICHTE ATAS/102/2020 del 17 febbraio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litige porte sur le bien-fondé de la décision de l'intimé de suspendre pour cinq jours le droit à l'indemnité du recourant, au motif qu'il ne s'est pas présenté à l'entretien du 7 août 2019.</w:t>
      </w:r>
    </w:p>
    <w:p>
      <w:r>
        <w:rPr>
          <w:b/>
        </w:rPr>
        <w:t>E. 3</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 22 de l'ordonnance sur l'assurance-chômage obligatoire et l'indemnité en cas d'insolvabilité du 31 août 1983 (ci-après : OACI), prévoit que le premier entretien de conseil et de contrôle doit avoir lieu au plus tard quinze jours après que l'assuré s'est présenté à la commune ou à l'office compétent en vue du placement (al. 1) ;</w:t>
      </w:r>
    </w:p>
    <w:p>
      <w:r>
        <w:t>A/3850/2019 - 4/8 - l'office compétent a, au moins, un entretien de conseil et de contrôle par mois avec chaque assuré. Lors de cet entretien, il contrôle l'aptitude au placement de l'assuré et examine si celui-ci est disposé à être placé (al. 2) ; l'office compétent convoque à un entretien de conseil et de contrôle, tous les deux mois au moins, les assurés qui exercent une activité à plein temps leur procurant un gain intermédiaire ou une activité bénévole relevant de l'art. 15 al. 4 LACI (al. 3) ; il convient avec l'assuré de la manière dont il pourra être atteint en règle générale dans le délai d'un jour (al. 4). Selon l'art. 25 al. 1 let. d OACI, l'office compétent décide à la demande de l'assuré de déplacer la date de son entretien de conseil et de contrôle s'il apporte la preuve qu'il ne peut se libérer à la date convenue en raison d'un événement contraignant, notamment parce qu'il doit se déplacer pour se présenter à un employeur. Le courrier type de convocation à un entretien de conseil précise que toute absence injustifiée entraîne une suspension de l'éventuel droit de l'assuré aux indemnités de chômage et qu'en cas d'empêchement, il faut avertir le conseiller en personnel au moins vingt-quatre heures à l'avance.</w:t>
      </w:r>
    </w:p>
    <w:p>
      <w:r>
        <w:rPr>
          <w:b/>
        </w:rPr>
        <w:t>E. 4</w:t>
      </w:r>
    </w:p>
    <w:p>
      <w:r>
        <w:t>a. Le droit de l'assuré à l'indemnité est suspendu lorsqu'il est établi que celui-ci n'observe pas les prescriptions de contrôle du chômage ou les instructions de l'autorité compétente (cf. art. 30 al. 1 let. d LACI). Cette disposition s'applique notamment lorsque l'assuré manque un entretien de conseil et de contrôle (voir pour un résumé de la jurisprudence à ce sujet DTA 2000 n° 21 p. 101). Selon l'art. 16 al. 1 let. b OACI, l'office compétent examine s'il y a motif à suspension lorsque l'assuré ne donne pas suite aux injonctions qui lui ont été adressées. S'il y a motif à suspension, il prononce la suspension par voie de décision, conformément à l'art. 16 al. 2 OACI. b. Selon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(arrêt du Tribunal fédéral des assurances sociales C 145/01 du 4 octobre 2001 consid. 2. b) ; Boris RUBIN, Commentaire de la loi sur l'assurance-chômage, 2014, n. 50 ad art. 30 et références citées). Tel est le cas, notamment, s'il a rempli de façon irréprochable ses obligations à l'égard de l'assurance-chômage durant les douze mois précédant cet oubli. Un éventuel manquement antérieur ne doit plus être pris en considération (arrêt du Tribunal fédéral des assurances C 123/04 du 18 juillet 2005). Même une négligence légère dans l'accomplissement de l'obligation de renseigner peut entraîner une sanction (DTA 2007 p. 210).</w:t>
      </w:r>
    </w:p>
    <w:p>
      <w:r>
        <w:t>A/3850/2019 - 5/8 - À titre d'exemples, le Tribunal fédéral a considéré qu'il ne se justifiait pas de prononcer une suspension à l'égard d'assurés qui ne s'étaient pas présentés à un entretien de conseil, l'un parce qu'il avait confondu la date de son rendez-vous avec une autre date, l'autre parce qu'il était resté endormi, avait immédiatement appelé l'office régional de placement, à son réveil, pour s'excuser de son absence. Dans les deux cas, les assurés avaient toujours fait preuve d'un comportement ponctuel (arrêt du Tribunal fédéral des assurances C 145/01 du 4 octobre 2001). Le Tribunal fédéral a admis que la suspension du droit à l'indemnité de l'assuré était injustifiée dans un cas où celui-ci avait noté par erreur dans son agenda un rendez- vous à l'ORP le 29 septembre 2006 au lieu du 26 septembre 2006. En effet, l'assuré n'avait aucunement manqué à ses obligations et avait réagi immédiatement après avoir eu connaissance de son erreur (arrêt du Tribunal fédéral 8C_157/2009 du 3 juillet 2009).</w:t>
      </w:r>
    </w:p>
    <w:p>
      <w:r>
        <w:rPr>
          <w:b/>
        </w:rPr>
        <w:t>E. 5</w:t>
      </w:r>
    </w:p>
    <w:p>
      <w:r>
        <w:t>a. Selon l’art. 30 al. 3 3ème phrase LACI, la durée de la suspension est proportionnelle à la gravité de la faute de l’assuré et ne peut excéder, par motif de suspension, 60 jours. Selon l’art. 45 al. 2 OACI, la durée de la suspension est de un à quinze jours en cas de faute légère, de seize à trente jours en cas de faute de gravité moyenne et de trente et un à soixante jours en cas de faute grave. La durée de la suspension du droit à l’indemnité de chômage est fixée compte tenu non seulement de la faute mais également du principe de proportionnalité (arrêt du Tribunal fédéral des assurances C 254/06 du 26 novembre 2007 consid. 5.3). b.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Elles ne lient ni les administrés, ni le juge, ni même l'administration qui pourront, le cas échéant, aller en dessous du minimum prévu par le barème indicatif (arrêt du Tribunal fédéral 8C_708/2019 consid. 4.1). Selon la barème (Bulletin LACI IC/D79) établi par le SECO, lorsque l'assuré ne se présente pas à un entretien de conseil ou à une séance d'information sans motif valable, la sanction se situe entre 5 et 8 jours s'il s'agit du premier manquement (cf. arrêt du Tribunal fédéral 8C_777/2017 du 2 août 2018 consid. 6.2). 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w:t>
      </w:r>
    </w:p>
    <w:p>
      <w:r>
        <w:t>A/3850/2019 - 6/8 -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6</w:t>
      </w:r>
    </w:p>
    <w:p>
      <w:r>
        <w:t>S'agissant de l'annonce au moyen de l'envoi d’un courriel, la jurisprudence a établi que lors de la transmission d'un écrit par voie électronique, ne sont pas déterminantes la date et l'heure de l'envoi, mais celles de confirmation de la réception de l'envoi par le système informatique de l'autorité. Il ne suffit donc pas que la partie ou son mandataire constate sur le fichier des envois de sa messagerie que l'acte a été expédié. La confirmation de la réception par le système informatique de l'autorité sert de preuve à l'expéditeur s'agissant de la date d'arrivée de l'acte sur la plateforme informatique du destinataire. Si la partie ne reçoit pas confirmation de la réception, elle doit mettre son pli à la poste encore dans le délai (arrêt du Tribunal fédéral 8C_239/2018 du 12 février 2019 consid. 6.1.2 et les références citées ; ATAS/1046/2014 du 7 novembre 2019).</w:t>
      </w:r>
    </w:p>
    <w:p>
      <w:r>
        <w:rPr>
          <w:b/>
        </w:rPr>
        <w:t>E. 7</w:t>
      </w:r>
    </w:p>
    <w:p>
      <w:r>
        <w:t>En l'espèce, il n'est pas contesté que le recourant ne s'est pas présenté à son entretien de conseil du 7 août 2019 et qu’il s’agit d’un premier manquement. Le recourant explique qu'il ne voulait pas manquer son stage et qu'il a envoyé un courriel à son conseiller en personnel afin de reporter l'entretien du 7 août 2019 et d'en fixer un autre après le 17 août 2019. Il expose qu'en raison de ses connaissances limitées en informatique, il ne s'est pas rendu compte du fait que le courriel n'avait pas été transmis. L'intimé, pour sa part, considère que dans la mesure où aucun report n'avait été accordé à l'assuré, il s'agit là d'une absence non excusée. Le recourant aurait dû s'assurer que l'adresse email était bien retranscrite et que son courriel était bien parvenu à son conseiller en personnel. En l'occurrence, le recourant n’a pas obtenu d'accusé de réception lui confirmant que sa demande de report était bien parvenue à son conseiller en personnel et il a même reçu un message d'erreur lui indiquant que son courriel n'avait pas pu être délivré, l'adresse email du destinataire étant invalide. Dès lors, c’est fautivement qu’il a inféré des circonstances qu'il était libéré de son obligation de se présenter à l’entretien de conseil du 7 août 2019 (art. 25 al. 1 let. d OACI). Cette circonstance ne permet pas de renoncer à toute sanction, comme c’est le cas lors d’une première absence à un entretien de conseil en raison d’un oubli ou d’une erreur d’agenda, au sens de la jurisprudence précitée. Toutefois, pour fixer la quotité de la sanction, il sied de prendre en compte qu’il a requis un report de son rendez-vous au motif qu’il accomplissait un stage dans le cadre d’un cours auquel il avait été assigné par l’OCE et duquel il ne voulait pas s’absenter, ce qui dénote une volonté du recourant</w:t>
      </w:r>
    </w:p>
    <w:p>
      <w:r>
        <w:t>A/3850/2019 - 7/8 - d’adopter un comportement en accord avec les devoirs généraux qui lui incombent en tant que bénéficiaire de l’assurance-chômage. Partant, cette circonstance particulière justifie de réduire la sanction prononcée de cinq jours à trois jours de suspension du droit à l’indemnité du recourant.</w:t>
      </w:r>
    </w:p>
    <w:p>
      <w:r>
        <w:rPr>
          <w:b/>
        </w:rPr>
        <w:t>E. 8</w:t>
      </w:r>
    </w:p>
    <w:p>
      <w:r>
        <w:t>Le recours doit donc être admis partiellement et la décision attaquée être réformée dans le sens précité.</w:t>
      </w:r>
    </w:p>
    <w:p>
      <w:r>
        <w:rPr>
          <w:b/>
        </w:rPr>
        <w:t>E. 9</w:t>
      </w:r>
    </w:p>
    <w:p>
      <w:r>
        <w:t>La procédure est gratuite (art. 61 let. a LPGA).</w:t>
      </w:r>
    </w:p>
    <w:p>
      <w:r>
        <w:t>A/3850/2019 - 8/8 -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