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ATAS/102/2017 vom 14. Februar 2017</w:t>
      </w:r>
    </w:p>
    <w:p>
      <w:r>
        <w:t>GE Cour de justice, 2017-02-14, FR</w:t>
      </w:r>
    </w:p>
    <w:p>
      <w:r>
        <w:rPr>
          <w:b/>
        </w:rPr>
        <w:t xml:space="preserve">Quelle: </w:t>
      </w:r>
      <w:r>
        <w:t>https://mcp.opencaselaw.ch/entscheid/ge_gerichte_ATAS_102_2017</w:t>
      </w:r>
    </w:p>
    <w:p>
      <w:r>
        <w:t>FR: GE_GERICHTE ATAS/102/2017 du 14 février 2017</w:t>
      </w:r>
    </w:p>
    <w:p>
      <w:r>
        <w:t>IT: GE_GERICHTE ATAS/102/2017 del 14 febbraio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recours a été interjeté en temps utile (art. 60 LPGA), étant précisé que lorsque le délai échoit, comme en l’espèce, un dimanche, son terme est reporté au premier</w:t>
      </w:r>
    </w:p>
    <w:p>
      <w:r>
        <w:t>A/3877/2016 - 7/16 - jour ouvrable qui suit (art. 38 al. 3 LPGA), en l’occurrence au lundi 14 novembre 2016, date de dépôt du recours. Il respecte les exigences de formes et de contenu prescrites par la loi (art. 61 let. b LPGA ; cf. aussi art. 89B LPA). Touchée par la décision attaquée et ayant digne de protection à son annulation ou sa modification, la recourante a qualité pour recourir (art. 59 LPGA). c.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l’assurance-invalidité. Commentaire thématique, 2011, n. 2623 et 2862 ss).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w:t>
      </w:r>
    </w:p>
    <w:p>
      <w:r>
        <w:t>A/3877/2016 - 8/16 -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il s’agit en l’espèce du droit actuellement en vigueur, résultant de la dernière révision de la LAI, dite 6a du 18 mars 2011, entrée en vigueur le 1er janvier 2012. S’agissant des dispositions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w:t>
      </w:r>
    </w:p>
    <w:p>
      <w:r>
        <w:t>A/3877/2016 - 9/16 -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w:t>
      </w:r>
    </w:p>
    <w:p>
      <w:r>
        <w:t>A/3877/2016 - 10/16 - c.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 invalidité du 17 janvier 1961 [RAI - RS 831.201] ; art. 8 al. 3 et art. 16 LPGA). La part respective de l'activité lucrative et celle de l'accomplissement des travaux habituels s’établit d'après le temps consacré à ces deux champs d'activité.</w:t>
      </w:r>
    </w:p>
    <w:p>
      <w:r>
        <w:rPr>
          <w:b/>
        </w:rPr>
        <w:t>E. 5</w:t>
      </w:r>
    </w:p>
    <w:p>
      <w:r>
        <w:t>Selon l’art. 17 al. 1 LPGA, si le taux d’invalidité du bénéficiaire de la rente subit une modification notable, la rente est, d’office ou sur demande, révisée pour l’avenir, à savoir augmentée ou réduite en conséquence, ou même supprimée.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6.1). Un changement dans les circonstances personnelles de l’assuré relatives à des facteurs économiques, et non uniquement à son état de santé, peut impliquer une révision s’il entraîne une modification notable du degré d’invalidité (ATF 133 V 545 consid. 6.1 et 7.1). Il en va de même d’une modification sensible des conséquences sur la capacité de gain d’un état de santé resté en soi le même (ATF 130 V 343 consid. 3.5), ainsi que des circonstances (hypothétiques) ayant déterminé le choix de la méthode d’évaluation de l’invalidité (ATF 117 V 198 consid. 3b ; arrêt du Tribunal fédéral 9C_254/2011 du 15 novembre 2011 consid. 4.2).</w:t>
      </w:r>
    </w:p>
    <w:p>
      <w:r>
        <w:rPr>
          <w:b/>
        </w:rPr>
        <w:t>E. 6</w:t>
      </w:r>
    </w:p>
    <w:p>
      <w:r>
        <w:t>En l’espèce, il n’est pas contesté et n’apparaît pas contestable que l’état de santé de la recourante s’est amélioré dans les années ayant suivi sa transplantation rénale et qu’ainsi, depuis le 27 août 2014 (date non litigieuse non plus), elle n’a certes toujours pas de capacité de travail dans son ancienne activité de nettoyeuse, mais a recouvré une capacité de travail de 50 % dans une activité adaptée tenant compte de ses limitations fonctionnelles, elles aussi non litigieuses. La recourante ne conteste donc pas, à juste titre, qu’une révision de son droit à une rente d’invalidité doit intervenir, depuis le premier jour du deuxième mois suivant la notification de la décision contestée (art. 88bis al. 2 let. a du règlement du 17 janvier 1961 sur l’assurance-invalidité du 17 janvier 1961 (RAI - RS 831.201).</w:t>
      </w:r>
    </w:p>
    <w:p>
      <w:r>
        <w:t>A/3877/2016 - 11/16 - Elle conteste la mesure de la baisse de son degré d’invalidité, apparemment dans la double perspective – très peu explicitée s’agissant de la seconde – qu’à défaut d’atteinte à la santé elle travaillerait à 100 % (et non à 82 %) et que sa capacité résiduelle de travail serait trop théorique. Elle estime qu’elle a droit à des mesures de réinsertion professionnelle afin de lui permettre de trouver une activité adaptée.</w:t>
      </w:r>
    </w:p>
    <w:p>
      <w:r>
        <w:rPr>
          <w:b/>
        </w:rPr>
        <w:t>E. 7</w:t>
      </w:r>
    </w:p>
    <w:p>
      <w:r>
        <w:t>a. Il s’agit de déterminer en premier lieu si l’intimé a retenu à bon droit que la recourante, lors de la révision clôturée sur le plan administratif par la décision attaquée (soit au 11 octobre 2016), avait toujours un statut mixte et, dans l’affirmative, si ses parts respectives d’activité professionnelle et de travaux ménagers étaient toujours de 82 % et 18 %, comme en 2006. La question doit être résolue à la lumière de la situation personnelle, familiale, sociale et professionnelle de la recourante, au regard, en particulier, de la situation financière de son ménage, de l'éducation de ses enfants, de son âge, de ses qualifications professionnelles, de sa formation ainsi que de ses affinités et talents personnels, étant précisé qu’aucun de ces critères ne doit recevoir la priorité d’entrée de jeu (ATF 117 V 194 consid. 3b; Pratique VSI 1997 p. 301 ss consid. 2b), d’une part, et qu’il incombe à l’assurée, dans la mesure où cela peut raisonnablement être exigé d’elle, d’alléguer les faits pertinents à ce propos et de les rendre vraisemblables (art. 28 LPGA ; ATF 125 V 193 consid. 2 ; 122 V 157 consid. 1a ; 117 V 261 consid. 3b), d’autre part. b. En l’espèce, la recourante se borne à indiquer que ses enfants cadets ont 17 ans, qu’elle aimerait sortir et voir du monde, et que son mari participe désormais aux tâches ménagères, pour en déduire que sans atteinte à sa santé elle consacrerait 100 % de son temps à l’exercice d’une activité professionnelle. La tâche d’éduquer et soigner de jeunes enfants peut certes expliquer qu’un des parents – fréquemment la mère dans un modèle traditionnel de répartition des tâches souvent encore adopté par les parents – réduise son taux d’activité professionnelle, dans la perspective de le rehausser une fois que les enfants n’auraient plus le même besoin de présence et disponibilité de leurs parents à domicile. Aussi le fait que les enfants atteignent, par l’écoulement du temps, un certain degré d’autonomie constitue-t-il un indice que le parent ayant réduit son taux d’activité professionnelle, voire ayant renoncé à exercer une activité professionnelle, en (re)prendrait une ou augmenterait son taux d’activité s’il n’était devenu invalide dans l’intervalle. Il ne suffit cependant pas à lui seul à rendre vraisemblable une telle (re)prise d’activité ou augmentation de taux d’activité. Il ne s’agit pas d’un fait d’expérience si ancré dans les mœurs qu’une simple déclaration d’intention associée à l’avancement en âge des enfants dispenserait de la nécessité d’en étayer la vraisemblance par d’indices extérieurs (arrêt du Tribunal fédéral des assurances I 693/06 du 20 décembre 2006 consid. 4.1). Or, force est de relever que la vraisemblance même d’une volonté réelle de passer d’un 82 % à un 100 % d’activité professionnelle est plus faible que celle, s’agissant</w:t>
      </w:r>
    </w:p>
    <w:p>
      <w:r>
        <w:t>A/3877/2016 - 12/16 - d’un parent s’occupant d’enfants en bas âge, de (re)prendre une activité (à temps partiel, voire à plein temps) alors qu’il n’en exerçait jusque-là aucune ou qu’une à un taux d’activité plus modeste. Autrement dit, un 82 % d’activité est un taux d’activité relativement élevé, faisant qu’il n’apparaît pas impératif, sauf autres éléments dûment rendus vraisemblables, de renoncer aux avantages indéniables de disposer d’un 18 % de temps pour vaquer aux travaux ménagers (y compris les soins aux enfants) et aux loisirs. Pour pouvoir être retenue, l’intention d’augmenter son taux d’activité – et a fortiori un tel taux d’activité jusqu’à un plein temps – doit en outre s’être manifestée avant même que les enfants dont le parent s’occupait aient atteint l’âge de 17 ans, des enfants acquérant une autonomie suffisante pour permettre la prise d’un emploi, même à plein temps, au moins deux ans plus tôt. Or, alors même qu’elle allait mieux depuis plusieurs années, à tout le moins depuis l’été 2014, et admettait avoir recouvré une certaine capacité de travail dans une activité adaptée, la recourante n’a allégué ni a fortiori démontré avoir entrepris des démarches en vue de retrouver un emploi, ne serait-ce d’abord qu’à temps très partiel puis même à mi-temps. Rien n’indique que la situation financière du couple et de la famille rendait impératif un surcroît de revenu, en particulier dans la mesure modérée où le passage d’un 82 % d’activité à un 100 % aurait permis de le générer. La recourante n’a pas une formation et/ou des qualifications professionnelles telles qu’il est dans l’ordre des choses, selon l’expérience de la vie, qu’une personne les possédant tiendrait à les mettre en valeur et à consentir les sacrifices y étant associés, à quelque cinquante ans et après plus d’une dizaine d’années d’interruption de toute activité professionnelle. Elle ne s’est pas non plus prévalue d’affinités ou talents personnels particuliers justifiant de tenir sa déclaration d’intention comme le reflet d’une réalité qui se serait concrétisée sans atteinte à la santé. c. On ne saurait donc retenir, au degré de vraisemblance prépondérante, que la recourante aurait effectivement travaillé à plein temps en l’absence d’atteinte à la santé au moment de la révision contestée de son droit à une rente d’invalidité. Aussi est-ce à bon droit que l’intimé lui a reconnu un statut mixte, de plus dans les mêmes proportions de 82 % d’activité professionnelle et 18 % de travaux ménagers qu’en 2006.</w:t>
      </w:r>
    </w:p>
    <w:p>
      <w:r>
        <w:rPr>
          <w:b/>
        </w:rPr>
        <w:t>E. 8</w:t>
      </w:r>
    </w:p>
    <w:p>
      <w:r>
        <w:t>a. La recourante n’a pas émis de critique sur l’appréciation que l’intimé a faite – par le biais d’une enquête économique sur le ménage, moyen approprié et fiable à cette fin (ATF 128 V 93 ; ATAS/32/2015 du 20 janvier 2015 consid. 5b) – de ses empêchements d’accomplir ses tâches ménagères, ni quant à la pondération des différents secteurs d’activité constituant les travaux dits ménagers, ni quant à la mesure de ses empêchements, ni quant à l’exigibilité susceptible d’être requise de ses proches. Rien ne laisse entrevoir que cette appréciation serait critiquable. Aussi faut-il retenir, à l’instar de l’intimé, que le taux d’empêchement pondéré de la</w:t>
      </w:r>
    </w:p>
    <w:p>
      <w:r>
        <w:t>A/3877/2016 - 13/16 - recourante d’accomplir ses travaux ménagers est de 10 %, autrement dit que, rapporté à la part de 18 % que représente sa sphère ménagère, son taux d’invalidité propre à cette dernière est de 2 % (10 % x 18 % = 1.8 %, arrondi à 2 %). b. Pour la sphère professionnelle, il s’agit d’appliquer la méthode générale de comparaison des revenus (art. 28a al. 1 LAI en corrélation avec l'art. 16 LPGA), le cas échéant ses sous-variantes, la méthode de comparaison en pour-cent (ATF 114 V 310 consid. 3a) et la méthode extraordinaire de comparaison des revenus (ATF 128 V 29 consid. 4). La méthode de comparaison des revenus consiste, conformément à l’art. 16 LPGA, à évaluer le taux d’invalidité en comparant le revenu que l’assuré aurait pu obtenir s’il n’était pas invalide avec celui qu’il pourrait obtenir en exerçant l’activité qui peut raisonnablement être exigée de lui après les traitements et les mesures de réadaptation, sur un marché du travail équilibré. En règle générale, la comparaison des revenus doit se faire de telle manière que les deux revenus soient chiffrés le plus exactement possible de telle sorte que la différence résultant de leur mise en parallèle permette de déterminer le degré d’invalidité. S’ils ne peuvent pas être déterminés avec précision, il convient de les évaluer selon les éléments connus et de comparer les valeurs approximatives obtenues (ATF 128 V 29 consid. 1). Dans cette méthode,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des statistiques (ATF 124 V 321 consid. 3b/aa). c. En l’espèce, on ne voit pas en quoi l’intimé – après avoir retenu à juste titre, au vu du dossier médical, que la recourante disposait d’une capacité de travail nulle comme nettoyeuse, mais de 50 % dans une activité adaptée – aurait failli dans l’application de la méthode de comparaison des revenus pour déterminer son degré d’invalidité propre à sa sphère professionnelle. La détermination du revenu sans invalidité de la recourante, donc dans son activité de nettoyeuse à 82 %, a pu se faire de façon précise et sûre sur la base du salaire annuel qu’elle percevait en 2003, en tenant compte de l’évolution des salaires intervenue jusqu’à l’année de calcul de référence. Il était de CHF 39'134.- en 2014 pour un poste (ou deux poste cumulés) de 36 heures hebdomadaires.</w:t>
      </w:r>
    </w:p>
    <w:p>
      <w:r>
        <w:t>A/3877/2016 - 14/16 - Quant au salaire avec invalidité (ou malgré l’invalidité), l’intimé l’a établi à juste titre, du fait que la recourante n’avait pas repris d’activité lucrative, sur la base des statistiques salariales, telles qu’elles résultent de l’Enquête suisse sur la structure des salaires, en retenant, à bon droit également, le tableau TA1 tous secteurs confondus dans la production et les services, pour une femme travaillant dans une activité de niveau 1, requérant l’accomplissement de tâches physiques ou manuelles simples, en l’occurrence à 50 %, et en appliquant une réduction de 10 % en considération des activités légères susceptibles d’être exécutées à mi-temps eu égard à ses limitations fonctionnelles. Ni l’âge de la recourante (52 ans), ni son niveau de scolarité, ni son manque de formation professionnelle, ni son statut de ressortissante européenne installée en Suisse depuis 1994, ni le cas échéant une mauvaise maîtrise de la langue française ne justifient de réduire davantage le montant du salaire résultant des statistiques salariales précitées. Aussi faut-il s’en tenir au montant de CHF 23'527.- retenu par l’intimé (soit CHF 26'141.- - 10 %) au titre de revenu annuel 2014 avec invalidité. La différence de revenu sans invalidité et avec invalidité est ainsi de CHF 15'607.-. Elle représente une perte économique de 39.88 % (CHF 15'607.- / CHF 39'134.-), à arrondir à 40 %. Rapportée à une sphère professionnelle de 82 %, elle donne un degré d’invalidité de 32.8 %, arrondi à 33%.</w:t>
      </w:r>
    </w:p>
    <w:p>
      <w:r>
        <w:rPr>
          <w:b/>
        </w:rPr>
        <w:t>E. 9</w:t>
      </w:r>
    </w:p>
    <w:p>
      <w:r>
        <w:t>Au total, le degré d’invalidité de la recourante est ainsi de 35 % (33 % + 2 %). Ce taux est insuffisant pour ouvrir un quelconque droit à une rente d’invalidité (art. 28 al. 2 LAI). La suppression de la rente d’invalidité accordée à la recourante est donc conforme au droit. Reste à déterminer si la recourante peut prétendre à l’octroi de mesures de réadaptation.</w:t>
      </w:r>
    </w:p>
    <w:p>
      <w:r>
        <w:rPr>
          <w:b/>
        </w:rPr>
        <w:t>E. 10</w:t>
      </w:r>
    </w:p>
    <w:p>
      <w:r>
        <w:t>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(arrêts du Tribunal fédéral 9C_283/2016 du 5 décembre 2016 consid. 6.2 et 9C_163/2009 du 10 septembre 2010 consid. 4 ; ATAS/741/2016 du 20 septembre 2016 consid. 11 p. 19 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LPGA) ou par reconsidération (art. 53 al. 2 LPGA), du droit à la rente concerne une personne assurée qui est âgée de 55 ans révolus ou qui a bénéficié d’une rente pendant 15 ans</w:t>
      </w:r>
    </w:p>
    <w:p>
      <w:r>
        <w:t>A/3877/2016 - 15/16 - au moins. Cela ne signifie pas que la personne assurée peut se prévaloir d’un droit acquis dans le cadre d’une procédure de révision ou de reconsidération, mais seulement qu’une réadaptation par soi-même ne peut, sauf exception, être exigée d’elle en raison de son âge ou de la durée du versement de la rente (arrêt du Tribunal fédéral 9C_228/2010 du 26 avril 2011 consid. 3.1 ; Petra FLEISCHANDERL, Behandlung der Eingliederungsfrage im Falle der Revision einer langjährig ausgerichteten Invalidenrente, in SZS 2012 p. 360 ss). b. La recourante n’est pas dans la situation de n’avoir recouvré une capacité de travail de 50 % dans une activité adaptée qui, compte tenu des limitations fonctionnelles reconnues, ne se trouverait pas sur un marché du travail équilibré et qui, de ce fait, serait théorique et illusoire. Comme elle le reconnaît elle-même, ses limitations fonctionnelles consistent à ne pas devoir porter de charges lourdes et à éviter les milieux insalubres. Compte tenu du large éventail d’activités non qualifiées que recouvrent les secteurs de la production et des services pris en compte par l’intimé pour déterminer son revenu avec invalidité (par le biais du TA1 tous secteurs confondus, pour une femme travaillant dans une activité de niveau 1, requérant l’accomplissement de tâches physiques ou manuelles simples, de l’Enquête suisse sur la structure des salaires), la recourante a accès à un nombre significatif d’activités lucratives adaptées à ses empêchements, qui ne requièrent ni formation particulière ni mesure de réinsertion professionnelle. La condition de nécessité subordonnant l’octroi des mesures de réadaptation (cf. not. art. 8 al. 1, 17 al. 1 et 18 al. 1 LAI) n’est pas remplie. Les difficultés que la recourante peut rencontrer à trouver concrètement un emploi ne relèvent pas de l’AI. La recourante n’a ni 55 ans, ni bénéficié d’une rente d’invalidité pendant au moins</w:t>
      </w:r>
    </w:p>
    <w:p>
      <w:r>
        <w:rPr>
          <w:b/>
        </w:rPr>
        <w:t>E. 15</w:t>
      </w:r>
    </w:p>
    <w:p>
      <w:r>
        <w:t>ans. Elle n’est donc pas dans la situation dans laquelle une réadaptation par soi- même ne pourrait être attendue d’elle (ATAS/69/2017 du 31 janvier 2017 consid. 17). 11. Entièrement mal fondé, le recours doit être rejeté. 12. La procédure n’étant pas gratuite en matière de contestations portant sur l’octroi ou le refus de prestations de l’AI devant le tribunal cantonal des assurances (donc la chambre de céans), en dérogation à l’art. 61 let. a LPGA (art. 69 al. 1bis phr. 1 LAI), il y a lieu de condamner le recourant au paiement d'un émolument, arrêté en l’espèce au minimum de CHF 200.- (art. 69 al. 1bis phr. 2 in fine LAI). Il n’y a pas d’indemnité de procédure à allouer, ni à la recourante, qui succombe (art. 61 let. g LPGA), ni à l’intimé, en tant qu’assureur social (Ueli KIESER, op. cit., n. 199 s. ad art. 61). * * * * * *</w:t>
      </w:r>
    </w:p>
    <w:p>
      <w:r>
        <w:t>A/3877/2016 - 16/16 -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