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ATAS/102/2013 vom 4. Februar 2013</w:t>
      </w:r>
    </w:p>
    <w:p>
      <w:r>
        <w:t>GE Cour de justice, 2013-02-04, FR</w:t>
      </w:r>
    </w:p>
    <w:p>
      <w:r>
        <w:rPr>
          <w:b/>
        </w:rPr>
        <w:t xml:space="preserve">Quelle: </w:t>
      </w:r>
      <w:r>
        <w:t>https://mcp.opencaselaw.ch/entscheid/ge_gerichte_ATAS_102_2013</w:t>
      </w:r>
    </w:p>
    <w:p>
      <w:r>
        <w:t>FR: GE_GERICHTE ATAS/102/2013 du 4 février 2013</w:t>
      </w:r>
    </w:p>
    <w:p>
      <w:r>
        <w:t>IT: GE_GERICHTE ATAS/102/2013 del 4 febbraio 2013</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 la prestation de sortie acquise durant le mariage par le demandeur. Les dates pertinentes sont, d’une part, celle du mariage, le 5 septembre 1980, d’autre part le 22 novembre 1011, date à laquelle le jugement de divorce est devenu exécutoire.</w:t>
      </w:r>
    </w:p>
    <w:p>
      <w:r>
        <w:rPr>
          <w:b/>
        </w:rPr>
        <w:t>E. 5</w:t>
      </w:r>
    </w:p>
    <w:p>
      <w:r>
        <w:t>Selon les documents produits, la prestation acquise pendant le mariage par le demandeur est de 220’113 fr. 90 plus 23'713 fr. 20, les intérêts ayant déjà été calculés par les institutions de prévoyance défenderesses. Ainsi le demandeur doit à son ex-épouse le montant de 121'913 fr. 55 (220'113 fr. 90 + 23'713 fr. 20 = 243'827 fr. 10 : 2).</w:t>
      </w:r>
    </w:p>
    <w:p>
      <w:r>
        <w:t>A/1295/2012 4/5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A/1295/2012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